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04" w:rsidRPr="000F4563" w:rsidRDefault="000637FC" w:rsidP="0075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ПРОЕКТ</w:t>
      </w:r>
      <w:r w:rsidR="00757F04"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 ТЕНДЕРН</w:t>
      </w: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ОЙ ДОКУМЕНТАЦИИ</w:t>
      </w:r>
    </w:p>
    <w:p w:rsidR="00A51259" w:rsidRDefault="00757F04" w:rsidP="0075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en-US"/>
        </w:rPr>
      </w:pPr>
      <w:r w:rsidRPr="000637FC">
        <w:rPr>
          <w:rFonts w:ascii="Times New Roman" w:hAnsi="Times New Roman"/>
          <w:sz w:val="24"/>
          <w:szCs w:val="24"/>
          <w:lang w:val="ru-RU" w:eastAsia="en-US"/>
        </w:rPr>
        <w:t xml:space="preserve">по закупке </w:t>
      </w:r>
      <w:r w:rsidR="00D928B3">
        <w:rPr>
          <w:rFonts w:ascii="Times New Roman" w:hAnsi="Times New Roman"/>
          <w:sz w:val="24"/>
          <w:szCs w:val="24"/>
          <w:lang w:val="kk-KZ" w:eastAsia="en-US"/>
        </w:rPr>
        <w:t>работ</w:t>
      </w:r>
      <w:r w:rsidR="00DC3200">
        <w:rPr>
          <w:rFonts w:ascii="Times New Roman" w:hAnsi="Times New Roman"/>
          <w:sz w:val="24"/>
          <w:szCs w:val="24"/>
          <w:lang w:val="ru-RU" w:eastAsia="en-US"/>
        </w:rPr>
        <w:t xml:space="preserve"> по лотам</w:t>
      </w:r>
      <w:r w:rsidR="00A51259">
        <w:rPr>
          <w:rFonts w:ascii="Times New Roman" w:hAnsi="Times New Roman"/>
          <w:sz w:val="24"/>
          <w:szCs w:val="24"/>
          <w:lang w:val="ru-RU" w:eastAsia="en-US"/>
        </w:rPr>
        <w:t>:</w:t>
      </w:r>
    </w:p>
    <w:p w:rsidR="00A51259" w:rsidRDefault="00DC3200" w:rsidP="0018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№1 </w:t>
      </w:r>
      <w:r w:rsidR="000637FC">
        <w:rPr>
          <w:rFonts w:ascii="Times New Roman" w:hAnsi="Times New Roman"/>
          <w:b/>
          <w:bCs/>
          <w:sz w:val="24"/>
          <w:szCs w:val="24"/>
          <w:lang w:val="ru-RU" w:eastAsia="en-US"/>
        </w:rPr>
        <w:t>«</w:t>
      </w:r>
      <w:r w:rsidR="006F31D8">
        <w:rPr>
          <w:rFonts w:ascii="Times New Roman" w:hAnsi="Times New Roman"/>
          <w:b/>
          <w:bCs/>
          <w:sz w:val="24"/>
          <w:szCs w:val="24"/>
          <w:lang w:val="ru-RU" w:eastAsia="en-US"/>
        </w:rPr>
        <w:t>Капитальный ремонт скважин при переводе под нагнетание</w:t>
      </w:r>
      <w:r w:rsidR="00A51259" w:rsidRPr="00A51259">
        <w:rPr>
          <w:rFonts w:ascii="Times New Roman" w:hAnsi="Times New Roman"/>
          <w:b/>
          <w:bCs/>
          <w:sz w:val="24"/>
          <w:szCs w:val="24"/>
          <w:lang w:val="ru-RU" w:eastAsia="en-US"/>
        </w:rPr>
        <w:t>»</w:t>
      </w:r>
    </w:p>
    <w:p w:rsidR="000637FC" w:rsidRPr="000637FC" w:rsidRDefault="00757F04" w:rsidP="00063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en-US"/>
        </w:rPr>
      </w:pPr>
      <w:r w:rsidRPr="000637FC">
        <w:rPr>
          <w:rFonts w:ascii="Times New Roman" w:hAnsi="Times New Roman"/>
          <w:sz w:val="24"/>
          <w:szCs w:val="24"/>
          <w:lang w:val="ru-RU" w:eastAsia="en-US"/>
        </w:rPr>
        <w:t>способом</w:t>
      </w:r>
      <w:r w:rsidR="000637FC" w:rsidRPr="000637FC">
        <w:rPr>
          <w:rFonts w:ascii="Times New Roman" w:hAnsi="Times New Roman"/>
          <w:sz w:val="24"/>
          <w:szCs w:val="24"/>
          <w:lang w:val="ru-RU" w:eastAsia="en-US"/>
        </w:rPr>
        <w:t xml:space="preserve"> открытого тендера.</w:t>
      </w:r>
    </w:p>
    <w:p w:rsidR="00757F04" w:rsidRPr="000637FC" w:rsidRDefault="00757F04" w:rsidP="0075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en-US"/>
        </w:rPr>
      </w:pP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 w:eastAsia="en-US"/>
        </w:rPr>
      </w:pPr>
      <w:r w:rsidRPr="000F4563">
        <w:rPr>
          <w:rFonts w:ascii="Times New Roman" w:hAnsi="Times New Roman"/>
          <w:i/>
          <w:iCs/>
          <w:sz w:val="24"/>
          <w:szCs w:val="24"/>
          <w:lang w:val="ru-RU" w:eastAsia="en-US"/>
        </w:rPr>
        <w:t>(далее – Тендерная документация)</w:t>
      </w: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BD7A55" w:rsidRPr="00BD7A55" w:rsidRDefault="00BD7A55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 w:rsidRPr="00BD7A55">
        <w:rPr>
          <w:rFonts w:ascii="Times New Roman" w:hAnsi="Times New Roman"/>
          <w:b/>
          <w:bCs/>
          <w:sz w:val="24"/>
          <w:szCs w:val="24"/>
          <w:lang w:val="ru-RU" w:eastAsia="en-US"/>
        </w:rPr>
        <w:t>Заказчик</w:t>
      </w: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:</w:t>
      </w:r>
      <w:r w:rsidRPr="00BD7A55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ТОО </w:t>
      </w:r>
      <w:r w:rsidRPr="00BD7A55">
        <w:rPr>
          <w:rFonts w:ascii="Times New Roman" w:hAnsi="Times New Roman"/>
          <w:b/>
          <w:bCs/>
          <w:sz w:val="24"/>
          <w:szCs w:val="24"/>
          <w:lang w:val="ru-RU" w:eastAsia="en-US"/>
        </w:rPr>
        <w:t>«СП «КазГерМунай»</w:t>
      </w:r>
    </w:p>
    <w:p w:rsidR="00BD7A55" w:rsidRPr="00BD7A55" w:rsidRDefault="00BD7A55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 w:rsidRPr="00BD7A55">
        <w:rPr>
          <w:rFonts w:ascii="Times New Roman" w:hAnsi="Times New Roman"/>
          <w:b/>
          <w:bCs/>
          <w:sz w:val="24"/>
          <w:szCs w:val="24"/>
          <w:lang w:val="ru-RU" w:eastAsia="en-US"/>
        </w:rPr>
        <w:t>Организатор закупок</w:t>
      </w: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: ТОО</w:t>
      </w:r>
      <w:r w:rsidRPr="00BD7A55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 «СП «КазГерМунай»</w:t>
      </w:r>
    </w:p>
    <w:p w:rsidR="00BD7A55" w:rsidRPr="00BD7A55" w:rsidRDefault="00BD7A55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BD7A55">
        <w:rPr>
          <w:rFonts w:ascii="Times New Roman" w:hAnsi="Times New Roman"/>
          <w:sz w:val="24"/>
          <w:szCs w:val="24"/>
          <w:lang w:val="ru-RU" w:eastAsia="en-US"/>
        </w:rPr>
        <w:t xml:space="preserve">Настоящие электронные закупки </w:t>
      </w:r>
      <w:r w:rsidR="00167479" w:rsidRPr="00BD7A55">
        <w:rPr>
          <w:rFonts w:ascii="Times New Roman" w:hAnsi="Times New Roman"/>
          <w:sz w:val="24"/>
          <w:szCs w:val="24"/>
          <w:lang w:val="ru-RU" w:eastAsia="en-US"/>
        </w:rPr>
        <w:t xml:space="preserve">способом </w:t>
      </w:r>
      <w:r w:rsidR="00167479">
        <w:rPr>
          <w:rFonts w:ascii="Times New Roman" w:hAnsi="Times New Roman"/>
          <w:sz w:val="24"/>
          <w:szCs w:val="24"/>
          <w:lang w:val="ru-RU" w:eastAsia="en-US"/>
        </w:rPr>
        <w:t xml:space="preserve">открытого тендера </w:t>
      </w:r>
      <w:r w:rsidRPr="00BD7A55">
        <w:rPr>
          <w:rFonts w:ascii="Times New Roman" w:hAnsi="Times New Roman"/>
          <w:sz w:val="24"/>
          <w:szCs w:val="24"/>
          <w:lang w:val="ru-RU" w:eastAsia="en-US"/>
        </w:rPr>
        <w:t>проводятся посредством</w:t>
      </w:r>
    </w:p>
    <w:p w:rsidR="00BD7A55" w:rsidRPr="00167479" w:rsidRDefault="00BD7A55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BD7A55">
        <w:rPr>
          <w:rFonts w:ascii="Times New Roman" w:hAnsi="Times New Roman"/>
          <w:sz w:val="24"/>
          <w:szCs w:val="24"/>
          <w:lang w:val="ru-RU" w:eastAsia="en-US"/>
        </w:rPr>
        <w:t xml:space="preserve">Информационной системы электронных закупок на веб-портале: </w:t>
      </w:r>
      <w:hyperlink r:id="rId9" w:history="1">
        <w:r w:rsidR="00167479" w:rsidRPr="00741ADC">
          <w:rPr>
            <w:rStyle w:val="a4"/>
            <w:rFonts w:ascii="Times New Roman" w:hAnsi="Times New Roman"/>
            <w:sz w:val="24"/>
            <w:szCs w:val="24"/>
            <w:lang w:eastAsia="en-US"/>
          </w:rPr>
          <w:t>http</w:t>
        </w:r>
        <w:r w:rsidR="00167479" w:rsidRPr="00741ADC">
          <w:rPr>
            <w:rStyle w:val="a4"/>
            <w:rFonts w:ascii="Times New Roman" w:hAnsi="Times New Roman"/>
            <w:sz w:val="24"/>
            <w:szCs w:val="24"/>
            <w:lang w:val="ru-RU" w:eastAsia="en-US"/>
          </w:rPr>
          <w:t>://tender.sk.kz</w:t>
        </w:r>
      </w:hyperlink>
      <w:r w:rsidR="00167479" w:rsidRPr="0016747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:rsidR="00BD7A55" w:rsidRPr="00BD7A55" w:rsidRDefault="00BD7A55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BD7A55" w:rsidRPr="00167479" w:rsidRDefault="004A3DF0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</w:pPr>
      <w:r w:rsidRPr="004A3DF0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>При наличии замечаний к проекту не позднее пяти рабочих дня со дня размещения проекта тендерной документации</w:t>
      </w:r>
      <w:r w:rsidR="00BD7A55" w:rsidRPr="00BD7A55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>, а также запросов о разъяснении положений проекта тендерной документации по данной закупке обращаться к секретарю тендерной комиссии</w:t>
      </w:r>
      <w:r w:rsidR="00BD7A55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>:</w:t>
      </w:r>
      <w:r w:rsidR="00BD7A55" w:rsidRPr="00BD7A55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 xml:space="preserve"> тел</w:t>
      </w:r>
      <w:r w:rsidR="00BD7A55" w:rsidRPr="00167479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>. 8(7242) 600-1</w:t>
      </w:r>
      <w:r w:rsidR="00167479" w:rsidRPr="00167479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>71</w:t>
      </w:r>
      <w:r w:rsidR="00167479">
        <w:rPr>
          <w:rFonts w:ascii="Times New Roman" w:hAnsi="Times New Roman"/>
          <w:b/>
          <w:bCs/>
          <w:sz w:val="24"/>
          <w:szCs w:val="24"/>
          <w:u w:val="single"/>
          <w:lang w:val="ru-RU" w:eastAsia="en-US"/>
        </w:rPr>
        <w:t>; 600-195; 600-219;</w:t>
      </w:r>
    </w:p>
    <w:p w:rsidR="00BD7A55" w:rsidRPr="006F31D8" w:rsidRDefault="00167479" w:rsidP="00BD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E</w:t>
      </w:r>
      <w:r w:rsidR="00BD7A55" w:rsidRPr="006F31D8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-</w:t>
      </w:r>
      <w:r w:rsidR="00BD7A55" w:rsidRPr="00BD7A55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mail</w:t>
      </w:r>
      <w:r w:rsidR="00BD7A55" w:rsidRPr="006F31D8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: </w:t>
      </w:r>
      <w:hyperlink r:id="rId10" w:history="1">
        <w:r w:rsidRPr="00741ADC">
          <w:rPr>
            <w:rStyle w:val="a4"/>
            <w:rFonts w:ascii="Times New Roman" w:hAnsi="Times New Roman"/>
            <w:b/>
            <w:bCs/>
            <w:sz w:val="24"/>
            <w:szCs w:val="24"/>
            <w:lang w:eastAsia="en-US"/>
          </w:rPr>
          <w:t>AMamayev</w:t>
        </w:r>
        <w:r w:rsidRPr="006F31D8">
          <w:rPr>
            <w:rStyle w:val="a4"/>
            <w:rFonts w:ascii="Times New Roman" w:hAnsi="Times New Roman"/>
            <w:b/>
            <w:bCs/>
            <w:sz w:val="24"/>
            <w:szCs w:val="24"/>
            <w:lang w:eastAsia="en-US"/>
          </w:rPr>
          <w:t>@</w:t>
        </w:r>
        <w:r w:rsidRPr="00741ADC">
          <w:rPr>
            <w:rStyle w:val="a4"/>
            <w:rFonts w:ascii="Times New Roman" w:hAnsi="Times New Roman"/>
            <w:b/>
            <w:bCs/>
            <w:sz w:val="24"/>
            <w:szCs w:val="24"/>
            <w:lang w:eastAsia="en-US"/>
          </w:rPr>
          <w:t>kgm</w:t>
        </w:r>
        <w:r w:rsidRPr="006F31D8">
          <w:rPr>
            <w:rStyle w:val="a4"/>
            <w:rFonts w:ascii="Times New Roman" w:hAnsi="Times New Roman"/>
            <w:b/>
            <w:bCs/>
            <w:sz w:val="24"/>
            <w:szCs w:val="24"/>
            <w:lang w:eastAsia="en-US"/>
          </w:rPr>
          <w:t>.</w:t>
        </w:r>
        <w:r w:rsidRPr="00741ADC">
          <w:rPr>
            <w:rStyle w:val="a4"/>
            <w:rFonts w:ascii="Times New Roman" w:hAnsi="Times New Roman"/>
            <w:b/>
            <w:bCs/>
            <w:sz w:val="24"/>
            <w:szCs w:val="24"/>
            <w:lang w:eastAsia="en-US"/>
          </w:rPr>
          <w:t>kz</w:t>
        </w:r>
      </w:hyperlink>
      <w:r w:rsidR="00BD7A55" w:rsidRPr="006F31D8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757F04" w:rsidRPr="006F31D8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>Перечень, закупаемых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93"/>
        <w:gridCol w:w="2476"/>
        <w:gridCol w:w="2477"/>
      </w:tblGrid>
      <w:tr w:rsidR="00757F04" w:rsidRPr="000F4563" w:rsidTr="000637FC">
        <w:tc>
          <w:tcPr>
            <w:tcW w:w="959" w:type="dxa"/>
            <w:shd w:val="clear" w:color="auto" w:fill="auto"/>
          </w:tcPr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№ Лота</w:t>
            </w:r>
          </w:p>
        </w:tc>
        <w:tc>
          <w:tcPr>
            <w:tcW w:w="3993" w:type="dxa"/>
            <w:shd w:val="clear" w:color="auto" w:fill="auto"/>
          </w:tcPr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Наименование </w:t>
            </w:r>
            <w:proofErr w:type="gramStart"/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закупаемых</w:t>
            </w:r>
            <w:proofErr w:type="gramEnd"/>
          </w:p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тру</w:t>
            </w:r>
          </w:p>
        </w:tc>
        <w:tc>
          <w:tcPr>
            <w:tcW w:w="2476" w:type="dxa"/>
            <w:shd w:val="clear" w:color="auto" w:fill="auto"/>
          </w:tcPr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Сумма, выделенная</w:t>
            </w:r>
          </w:p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для закупки, (без учета НДС)</w:t>
            </w:r>
            <w:r w:rsidR="000637FC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, тенге</w:t>
            </w:r>
          </w:p>
        </w:tc>
        <w:tc>
          <w:tcPr>
            <w:tcW w:w="2477" w:type="dxa"/>
            <w:shd w:val="clear" w:color="auto" w:fill="auto"/>
          </w:tcPr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0F4563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Приоритет закупки</w:t>
            </w:r>
          </w:p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757F04" w:rsidRPr="000F4563" w:rsidTr="00A228D9">
        <w:tc>
          <w:tcPr>
            <w:tcW w:w="959" w:type="dxa"/>
            <w:shd w:val="clear" w:color="auto" w:fill="auto"/>
            <w:vAlign w:val="center"/>
          </w:tcPr>
          <w:p w:rsidR="00757F04" w:rsidRPr="000F4563" w:rsidRDefault="000637FC" w:rsidP="00A2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757F04" w:rsidRPr="000F4563" w:rsidRDefault="004E4AFE" w:rsidP="00A2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«Капитальный ремонт скважин при переводе на другие горизонты»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757F04" w:rsidRPr="006F31D8" w:rsidRDefault="004E4AFE" w:rsidP="001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29 292 000,00</w:t>
            </w:r>
          </w:p>
        </w:tc>
        <w:tc>
          <w:tcPr>
            <w:tcW w:w="2477" w:type="dxa"/>
            <w:shd w:val="clear" w:color="auto" w:fill="auto"/>
          </w:tcPr>
          <w:p w:rsidR="00757F04" w:rsidRPr="000F4563" w:rsidRDefault="00757F04" w:rsidP="00CA0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4E4AFE" w:rsidRPr="000F4563" w:rsidTr="00A228D9">
        <w:tc>
          <w:tcPr>
            <w:tcW w:w="959" w:type="dxa"/>
            <w:shd w:val="clear" w:color="auto" w:fill="auto"/>
            <w:vAlign w:val="center"/>
          </w:tcPr>
          <w:p w:rsidR="004E4AFE" w:rsidRDefault="004E4AFE" w:rsidP="00A2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E4AFE" w:rsidRPr="000F4563" w:rsidRDefault="004E4AFE" w:rsidP="00C5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«Капитальный ремонт скважин при переводе под нагнетание»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4E4AFE" w:rsidRPr="006F31D8" w:rsidRDefault="004E4AFE" w:rsidP="00C5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22 730 000,00</w:t>
            </w:r>
          </w:p>
        </w:tc>
        <w:tc>
          <w:tcPr>
            <w:tcW w:w="2477" w:type="dxa"/>
            <w:shd w:val="clear" w:color="auto" w:fill="auto"/>
          </w:tcPr>
          <w:p w:rsidR="004E4AFE" w:rsidRPr="000F4563" w:rsidRDefault="004E4AFE" w:rsidP="00CA0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Заявки потенциальных поставщиков </w:t>
      </w:r>
      <w:r w:rsidRPr="000F4563">
        <w:rPr>
          <w:rFonts w:ascii="Times New Roman" w:hAnsi="Times New Roman"/>
          <w:sz w:val="24"/>
          <w:szCs w:val="24"/>
          <w:lang w:val="ru-RU" w:eastAsia="en-US"/>
        </w:rPr>
        <w:t xml:space="preserve">на участие в открытом тендере принимаются в Системе в срок </w:t>
      </w:r>
      <w:proofErr w:type="gramStart"/>
      <w:r w:rsidRPr="000F4563">
        <w:rPr>
          <w:rFonts w:ascii="Times New Roman" w:hAnsi="Times New Roman"/>
          <w:sz w:val="24"/>
          <w:szCs w:val="24"/>
          <w:lang w:val="ru-RU" w:eastAsia="en-US"/>
        </w:rPr>
        <w:t>до</w:t>
      </w:r>
      <w:proofErr w:type="gramEnd"/>
      <w:r w:rsidR="00286EB4">
        <w:rPr>
          <w:rFonts w:ascii="Times New Roman" w:hAnsi="Times New Roman"/>
          <w:sz w:val="24"/>
          <w:szCs w:val="24"/>
          <w:lang w:val="ru-RU" w:eastAsia="en-US"/>
        </w:rPr>
        <w:t>:</w:t>
      </w:r>
      <w:r w:rsidRPr="000F4563">
        <w:rPr>
          <w:rFonts w:ascii="Times New Roman" w:hAnsi="Times New Roman"/>
          <w:sz w:val="24"/>
          <w:szCs w:val="24"/>
          <w:lang w:val="ru-RU" w:eastAsia="en-US"/>
        </w:rPr>
        <w:t xml:space="preserve"> (</w:t>
      </w:r>
      <w:proofErr w:type="gramStart"/>
      <w:r w:rsidRPr="00286EB4">
        <w:rPr>
          <w:rFonts w:ascii="Times New Roman" w:hAnsi="Times New Roman"/>
          <w:color w:val="FF0000"/>
          <w:sz w:val="24"/>
          <w:szCs w:val="24"/>
          <w:u w:val="single"/>
          <w:lang w:val="ru-RU" w:eastAsia="en-US"/>
        </w:rPr>
        <w:t>окончательный</w:t>
      </w:r>
      <w:proofErr w:type="gramEnd"/>
      <w:r w:rsidRPr="00286EB4">
        <w:rPr>
          <w:rFonts w:ascii="Times New Roman" w:hAnsi="Times New Roman"/>
          <w:color w:val="FF0000"/>
          <w:sz w:val="24"/>
          <w:szCs w:val="24"/>
          <w:u w:val="single"/>
          <w:lang w:val="ru-RU" w:eastAsia="en-US"/>
        </w:rPr>
        <w:t xml:space="preserve"> срок представления заявок</w:t>
      </w:r>
      <w:r w:rsidRPr="000F4563">
        <w:rPr>
          <w:rFonts w:ascii="Times New Roman" w:hAnsi="Times New Roman"/>
          <w:sz w:val="24"/>
          <w:szCs w:val="24"/>
          <w:lang w:val="ru-RU" w:eastAsia="en-US"/>
        </w:rPr>
        <w:t>).</w:t>
      </w: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Обеспечение </w:t>
      </w:r>
      <w:r w:rsidR="00286EB4">
        <w:rPr>
          <w:rFonts w:ascii="Times New Roman" w:hAnsi="Times New Roman"/>
          <w:b/>
          <w:bCs/>
          <w:sz w:val="24"/>
          <w:szCs w:val="24"/>
          <w:lang w:val="ru-RU" w:eastAsia="en-US"/>
        </w:rPr>
        <w:t>З</w:t>
      </w: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>аявки</w:t>
      </w:r>
      <w:r w:rsidR="000637FC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 </w:t>
      </w:r>
      <w:r w:rsidR="00286EB4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составляет - </w:t>
      </w:r>
      <w:r w:rsidR="000637FC">
        <w:rPr>
          <w:rFonts w:ascii="Times New Roman" w:hAnsi="Times New Roman"/>
          <w:b/>
          <w:bCs/>
          <w:sz w:val="24"/>
          <w:szCs w:val="24"/>
          <w:lang w:val="ru-RU" w:eastAsia="en-US"/>
        </w:rPr>
        <w:t>1%</w:t>
      </w:r>
      <w:r w:rsidR="00F108D8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 . </w:t>
      </w: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757F04" w:rsidRPr="000F4563" w:rsidRDefault="00757F04" w:rsidP="007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Срок действия Тендерной заявки </w:t>
      </w:r>
      <w:r w:rsidRPr="000F4563">
        <w:rPr>
          <w:rFonts w:ascii="Times New Roman" w:hAnsi="Times New Roman"/>
          <w:sz w:val="24"/>
          <w:szCs w:val="24"/>
          <w:lang w:val="ru-RU" w:eastAsia="en-US"/>
        </w:rPr>
        <w:t xml:space="preserve">должен составлять не менее </w:t>
      </w: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>(</w:t>
      </w:r>
      <w:r w:rsidR="000637FC">
        <w:rPr>
          <w:rFonts w:ascii="Times New Roman" w:hAnsi="Times New Roman"/>
          <w:b/>
          <w:bCs/>
          <w:sz w:val="24"/>
          <w:szCs w:val="24"/>
          <w:lang w:val="ru-RU" w:eastAsia="en-US"/>
        </w:rPr>
        <w:t>60</w:t>
      </w:r>
      <w:r w:rsidRPr="000F4563">
        <w:rPr>
          <w:rFonts w:ascii="Times New Roman" w:hAnsi="Times New Roman"/>
          <w:b/>
          <w:bCs/>
          <w:sz w:val="24"/>
          <w:szCs w:val="24"/>
          <w:lang w:val="ru-RU" w:eastAsia="en-US"/>
        </w:rPr>
        <w:t xml:space="preserve">) </w:t>
      </w:r>
      <w:r w:rsidRPr="000F4563">
        <w:rPr>
          <w:rFonts w:ascii="Times New Roman" w:hAnsi="Times New Roman"/>
          <w:sz w:val="24"/>
          <w:szCs w:val="24"/>
          <w:lang w:val="ru-RU" w:eastAsia="en-US"/>
        </w:rPr>
        <w:t>календарных дней. Течение срока действия обеспечения заявки на участие в тендере исчисляется со дня окончательного срока представления Тендерной заявки.</w:t>
      </w:r>
    </w:p>
    <w:p w:rsidR="00757F04" w:rsidRPr="000F4563" w:rsidRDefault="00757F04" w:rsidP="00E85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E85B1C" w:rsidRDefault="004C7403" w:rsidP="00E85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/>
        </w:rPr>
        <w:t xml:space="preserve">1. </w:t>
      </w:r>
      <w:r w:rsidR="00E85B1C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Общие положения</w:t>
      </w:r>
    </w:p>
    <w:p w:rsidR="00F92C84" w:rsidRPr="000F4563" w:rsidRDefault="00F92C84" w:rsidP="00E85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Настоящая тендерная документация разработана в соответствии с Правилами закупок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товаров, работ и услуг АО «ФНБ «Самрук-Казына» и организациями пятьдесят и более процентов голосующих акций (долей участия) которых прямо или косвенно принадлежат АО «Самрук-Казына» на праве собственности или доверительного управления утвержденного Решением Совета директоров АО «Самрук-Казына», приложением №6 к Протоколу Совета директоров №126 от 28 января 2016г., а также в соответствии с Инструкцией по проведению электронных закупок товаров, работ и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услуг АО «Самрук-Казына» (утвержденного решением Правления АО «Самрук-Казына» от 18 апреля 2016г. №12/16). 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В настоящей тендерной документации используются следующие основные понятия: 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lastRenderedPageBreak/>
        <w:t>Система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информационная система электронных закупок, обеспечивающая проведение электронных закупок;</w:t>
      </w:r>
    </w:p>
    <w:p w:rsidR="00F92755" w:rsidRPr="000F4563" w:rsidRDefault="008E61F0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лектронные закупки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закупки с использованием информационных систем, обеспечивающих автоматизацию процессов организации и проведения закупок, способами запроса ценовых предложений или тендера, в том числе с применением торгов на понижение.</w:t>
      </w:r>
    </w:p>
    <w:p w:rsidR="00F92755" w:rsidRPr="000F4563" w:rsidRDefault="008E61F0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лектронный документ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лектронная копия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лектронная банковская гарантия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ЭЦП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Экспертная комиссия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коллегиальный орган, создаваемый Заказчиком/организатором закупок (единым организатором закупок), привлекаемый для участия в разработке технической спецификации (технического задания) закупаемых товаров, работ, услуг, а также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Эксперт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физическое лицо, определенное Заказчиком/организатором закупок (единым организатором закупок), привлекаемое для участия в разработке технической спецификации (технического задания) закупаемых товаров, работ, услуг, а также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b/>
          <w:sz w:val="24"/>
          <w:szCs w:val="24"/>
          <w:lang w:val="ru-RU"/>
        </w:rPr>
        <w:t>Местное содержание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-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закупках;</w:t>
      </w:r>
      <w:proofErr w:type="gramEnd"/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беспечение возврата аванса (предоплаты)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 банковская гарантия или иное обеспечение возврата аванса (предоплаты), определенное Заказчиком в тендерной документации, в том числе страховой договор со сроками действия до полного погашения авансового платежа (предоплаты) по договору о закупках;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беспечение исполнения договора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банковская гарантия или иное обеспечение исполнения договора, определенное Заказчиком в тендерной документации, в том числе страховой договор со сроками действия до полного исполнения договора;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течественные предприниматели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потенциальные поставщики, являющиеся резидентами Республики Казахстан и осуществляющие предпринимательскую деятельность;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течественный товар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товар, произведенный отечественным товаропроизводителем, на который выдан сертификат происхождения товара (формы CT KZ);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течественные товаропроизводители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потенциальные поставщики, производящие товар на территории Республики Казахстан;</w:t>
      </w:r>
    </w:p>
    <w:p w:rsidR="00F92755" w:rsidRPr="000F4563" w:rsidRDefault="00894CEB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Т</w:t>
      </w:r>
      <w:r w:rsidR="00F92755" w:rsidRPr="000F4563">
        <w:rPr>
          <w:rFonts w:ascii="Times New Roman" w:hAnsi="Times New Roman"/>
          <w:b/>
          <w:sz w:val="24"/>
          <w:szCs w:val="24"/>
          <w:lang w:val="ru-RU"/>
        </w:rPr>
        <w:t>оваропроизводители</w:t>
      </w:r>
      <w:r w:rsidR="00F92755" w:rsidRPr="000F4563">
        <w:rPr>
          <w:rFonts w:ascii="Times New Roman" w:hAnsi="Times New Roman"/>
          <w:sz w:val="24"/>
          <w:szCs w:val="24"/>
          <w:lang w:val="ru-RU"/>
        </w:rPr>
        <w:t xml:space="preserve"> – потенциальные поставщики, производящие товар;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lastRenderedPageBreak/>
        <w:t>Реестр товаропроизводителей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перечень товаропроизводителей и производимых ими товаров, формируемый уполномоченным органом по вопросам закупок в лице дочерней организации, определенной Правлением Фонда;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Перечень добросовестных поставщиков Холдинга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систематизированные сведения о лицах, надлежащим образом исполнивших свои обязательства по договорам о закупках, заключенным с организациями, входящими в Холдинг;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Перечень лжепредприятий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систематизированные сведения о налогоплательщиках, в отношении которых судами Республики Казахстан вынесены судебные акты (решения, приговоры) о признании их  лжепредприятиями, размещенный на  web-портале Налогового комитета Министерства финансов Республики Казахстан;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Перечень ненадёжных потенциальных поставщиков (поставщиков) Холдинга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– систематизированные сведения о ненадежных потенциальных поставщиках (поставщиках);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Другие понятия и термины, не указанные в настоящем пункте, используются в значениях, определяемых в Правилах закупок Холдинга и законодательстве Республики Казахстан.</w:t>
      </w:r>
    </w:p>
    <w:p w:rsidR="00F92755" w:rsidRPr="000F4563" w:rsidRDefault="00F92755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6454" w:rsidRPr="000F4563" w:rsidRDefault="005A6454" w:rsidP="00F9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Реквизиты ТОО СП «Казгермунай»: </w:t>
      </w:r>
    </w:p>
    <w:p w:rsidR="005A6454" w:rsidRPr="000F4563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Фактический и юридический адреса Товарищества: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120018 Республика Казахстан, Кызылординская обл., пос. Тасбугет, ул. Амангельды, д.100.</w:t>
      </w:r>
    </w:p>
    <w:p w:rsidR="005A6454" w:rsidRPr="000F4563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Банковские реквизиты: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РНН 331 000 034 798, регистрационный номер 6795-1933-ТОО от 29.08.2007г., 120018 Республика Казахстан, Кызылординская обл., г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ызылорда, пос. Тасбугет, ул. Амангельды 100, </w:t>
      </w:r>
      <w:r w:rsidRPr="000F4563">
        <w:rPr>
          <w:rFonts w:ascii="Times New Roman" w:hAnsi="Times New Roman"/>
          <w:sz w:val="24"/>
          <w:szCs w:val="24"/>
        </w:rPr>
        <w:t>E</w:t>
      </w:r>
      <w:r w:rsidRPr="000F4563">
        <w:rPr>
          <w:rFonts w:ascii="Times New Roman" w:hAnsi="Times New Roman"/>
          <w:sz w:val="24"/>
          <w:szCs w:val="24"/>
          <w:lang w:val="ru-RU"/>
        </w:rPr>
        <w:t>-</w:t>
      </w:r>
      <w:r w:rsidRPr="000F4563">
        <w:rPr>
          <w:rFonts w:ascii="Times New Roman" w:hAnsi="Times New Roman"/>
          <w:sz w:val="24"/>
          <w:szCs w:val="24"/>
        </w:rPr>
        <w:t>mail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1" w:history="1">
        <w:r w:rsidRPr="000F4563">
          <w:rPr>
            <w:rStyle w:val="a4"/>
            <w:rFonts w:ascii="Times New Roman" w:hAnsi="Times New Roman"/>
            <w:sz w:val="24"/>
            <w:szCs w:val="24"/>
          </w:rPr>
          <w:t>kgm</w:t>
        </w:r>
        <w:r w:rsidRPr="000F4563">
          <w:rPr>
            <w:rStyle w:val="a4"/>
            <w:rFonts w:ascii="Times New Roman" w:hAnsi="Times New Roman"/>
            <w:sz w:val="24"/>
            <w:szCs w:val="24"/>
            <w:lang w:val="ru-RU"/>
          </w:rPr>
          <w:t>@</w:t>
        </w:r>
        <w:r w:rsidRPr="000F4563">
          <w:rPr>
            <w:rStyle w:val="a4"/>
            <w:rFonts w:ascii="Times New Roman" w:hAnsi="Times New Roman"/>
            <w:sz w:val="24"/>
            <w:szCs w:val="24"/>
          </w:rPr>
          <w:t>kgm</w:t>
        </w:r>
        <w:r w:rsidRPr="000F4563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0F4563">
          <w:rPr>
            <w:rStyle w:val="a4"/>
            <w:rFonts w:ascii="Times New Roman" w:hAnsi="Times New Roman"/>
            <w:sz w:val="24"/>
            <w:szCs w:val="24"/>
          </w:rPr>
          <w:t>kz</w:t>
        </w:r>
      </w:hyperlink>
      <w:r w:rsidRPr="000F4563">
        <w:rPr>
          <w:rFonts w:ascii="Times New Roman" w:hAnsi="Times New Roman"/>
          <w:sz w:val="24"/>
          <w:szCs w:val="24"/>
          <w:lang w:val="ru-RU"/>
        </w:rPr>
        <w:t xml:space="preserve">; тел.+7 (7242) 600-104; 600-108 – канцелярия. </w:t>
      </w:r>
    </w:p>
    <w:p w:rsidR="005A6454" w:rsidRPr="000F4563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Свидетельство о постановке на учет по НДС: Серия 33001; №0003579 от 14 сентября 2012г., Кбе 17, ОКПО 28197234 от 06.03.1996 г., БИН 940240000021 от 29 августа 2007 г.</w:t>
      </w:r>
    </w:p>
    <w:p w:rsidR="005A6454" w:rsidRPr="000F4563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Банковские реквизиты: Кызылординский Областной Филиал АО «Народный Банк Казахстана», 120001, г. Кызылорда, ул. Казыбек би, 5, БИН Филиала 940141000330 </w:t>
      </w:r>
      <w:r w:rsidRPr="000F4563">
        <w:rPr>
          <w:rFonts w:ascii="Times New Roman" w:hAnsi="Times New Roman"/>
          <w:sz w:val="24"/>
          <w:szCs w:val="24"/>
        </w:rPr>
        <w:t>SWIFT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БИК </w:t>
      </w:r>
      <w:r w:rsidRPr="000F4563">
        <w:rPr>
          <w:rFonts w:ascii="Times New Roman" w:hAnsi="Times New Roman"/>
          <w:sz w:val="24"/>
          <w:szCs w:val="24"/>
        </w:rPr>
        <w:t>HSBKKZKX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F4563">
        <w:rPr>
          <w:rFonts w:ascii="Times New Roman" w:hAnsi="Times New Roman"/>
          <w:sz w:val="24"/>
          <w:szCs w:val="24"/>
        </w:rPr>
        <w:t>IBAN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</w:rPr>
        <w:t>KZ</w:t>
      </w:r>
      <w:r w:rsidRPr="000F4563">
        <w:rPr>
          <w:rFonts w:ascii="Times New Roman" w:hAnsi="Times New Roman"/>
          <w:sz w:val="24"/>
          <w:szCs w:val="24"/>
          <w:lang w:val="ru-RU"/>
        </w:rPr>
        <w:t>806010201000034150 (</w:t>
      </w:r>
      <w:r w:rsidRPr="000F4563">
        <w:rPr>
          <w:rFonts w:ascii="Times New Roman" w:hAnsi="Times New Roman"/>
          <w:sz w:val="24"/>
          <w:szCs w:val="24"/>
        </w:rPr>
        <w:t>KZT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0F4563">
        <w:rPr>
          <w:rFonts w:ascii="Times New Roman" w:hAnsi="Times New Roman"/>
          <w:sz w:val="24"/>
          <w:szCs w:val="24"/>
        </w:rPr>
        <w:t>IBAN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</w:rPr>
        <w:t>KZ</w:t>
      </w:r>
      <w:r w:rsidRPr="000F4563">
        <w:rPr>
          <w:rFonts w:ascii="Times New Roman" w:hAnsi="Times New Roman"/>
          <w:sz w:val="24"/>
          <w:szCs w:val="24"/>
          <w:lang w:val="ru-RU"/>
        </w:rPr>
        <w:t>536010201000034151 (</w:t>
      </w:r>
      <w:r w:rsidRPr="000F4563">
        <w:rPr>
          <w:rFonts w:ascii="Times New Roman" w:hAnsi="Times New Roman"/>
          <w:sz w:val="24"/>
          <w:szCs w:val="24"/>
        </w:rPr>
        <w:t>USD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5A6454" w:rsidRPr="000F4563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563">
        <w:rPr>
          <w:rFonts w:ascii="Times New Roman" w:hAnsi="Times New Roman"/>
          <w:sz w:val="24"/>
          <w:szCs w:val="24"/>
        </w:rPr>
        <w:t xml:space="preserve">Correspondent Bank: THE BANK OF NEW YORK MELLON NEW YORK, NY US SWIFT BIC: IRVTUS3NXXX, IBAN KZ256010201000163471 (RUR) </w:t>
      </w:r>
      <w:r w:rsidRPr="000F4563">
        <w:rPr>
          <w:rFonts w:ascii="Times New Roman" w:hAnsi="Times New Roman"/>
          <w:sz w:val="24"/>
          <w:szCs w:val="24"/>
          <w:lang w:val="ru-RU"/>
        </w:rPr>
        <w:t>Банк</w:t>
      </w:r>
      <w:r w:rsidRPr="000F4563">
        <w:rPr>
          <w:rFonts w:ascii="Times New Roman" w:hAnsi="Times New Roman"/>
          <w:sz w:val="24"/>
          <w:szCs w:val="24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корреспондент</w:t>
      </w:r>
      <w:r w:rsidRPr="000F4563">
        <w:rPr>
          <w:rFonts w:ascii="Times New Roman" w:hAnsi="Times New Roman"/>
          <w:sz w:val="24"/>
          <w:szCs w:val="24"/>
        </w:rPr>
        <w:t xml:space="preserve">: </w:t>
      </w:r>
      <w:r w:rsidRPr="000F4563">
        <w:rPr>
          <w:rFonts w:ascii="Times New Roman" w:hAnsi="Times New Roman"/>
          <w:sz w:val="24"/>
          <w:szCs w:val="24"/>
          <w:lang w:val="ru-RU"/>
        </w:rPr>
        <w:t>ОАО</w:t>
      </w:r>
      <w:r w:rsidRPr="000F4563">
        <w:rPr>
          <w:rFonts w:ascii="Times New Roman" w:hAnsi="Times New Roman"/>
          <w:sz w:val="24"/>
          <w:szCs w:val="24"/>
        </w:rPr>
        <w:t xml:space="preserve"> «</w:t>
      </w:r>
      <w:r w:rsidRPr="000F4563">
        <w:rPr>
          <w:rFonts w:ascii="Times New Roman" w:hAnsi="Times New Roman"/>
          <w:sz w:val="24"/>
          <w:szCs w:val="24"/>
          <w:lang w:val="ru-RU"/>
        </w:rPr>
        <w:t>НБК</w:t>
      </w:r>
      <w:r w:rsidRPr="000F4563">
        <w:rPr>
          <w:rFonts w:ascii="Times New Roman" w:hAnsi="Times New Roman"/>
          <w:sz w:val="24"/>
          <w:szCs w:val="24"/>
        </w:rPr>
        <w:t>-</w:t>
      </w:r>
      <w:r w:rsidRPr="000F4563">
        <w:rPr>
          <w:rFonts w:ascii="Times New Roman" w:hAnsi="Times New Roman"/>
          <w:sz w:val="24"/>
          <w:szCs w:val="24"/>
          <w:lang w:val="ru-RU"/>
        </w:rPr>
        <w:t>Банк</w:t>
      </w:r>
      <w:r w:rsidRPr="000F4563">
        <w:rPr>
          <w:rFonts w:ascii="Times New Roman" w:hAnsi="Times New Roman"/>
          <w:sz w:val="24"/>
          <w:szCs w:val="24"/>
        </w:rPr>
        <w:t xml:space="preserve">», </w:t>
      </w:r>
      <w:r w:rsidRPr="000F4563">
        <w:rPr>
          <w:rFonts w:ascii="Times New Roman" w:hAnsi="Times New Roman"/>
          <w:sz w:val="24"/>
          <w:szCs w:val="24"/>
          <w:lang w:val="ru-RU"/>
        </w:rPr>
        <w:t>г</w:t>
      </w:r>
      <w:r w:rsidRPr="000F4563">
        <w:rPr>
          <w:rFonts w:ascii="Times New Roman" w:hAnsi="Times New Roman"/>
          <w:sz w:val="24"/>
          <w:szCs w:val="24"/>
        </w:rPr>
        <w:t xml:space="preserve">. </w:t>
      </w:r>
      <w:r w:rsidRPr="000F4563">
        <w:rPr>
          <w:rFonts w:ascii="Times New Roman" w:hAnsi="Times New Roman"/>
          <w:sz w:val="24"/>
          <w:szCs w:val="24"/>
          <w:lang w:val="ru-RU"/>
        </w:rPr>
        <w:t>Москва</w:t>
      </w:r>
      <w:r w:rsidRPr="000F4563">
        <w:rPr>
          <w:rFonts w:ascii="Times New Roman" w:hAnsi="Times New Roman"/>
          <w:sz w:val="24"/>
          <w:szCs w:val="24"/>
        </w:rPr>
        <w:t xml:space="preserve">, </w:t>
      </w:r>
      <w:r w:rsidRPr="000F4563">
        <w:rPr>
          <w:rFonts w:ascii="Times New Roman" w:hAnsi="Times New Roman"/>
          <w:sz w:val="24"/>
          <w:szCs w:val="24"/>
          <w:lang w:val="ru-RU"/>
        </w:rPr>
        <w:t>РФ</w:t>
      </w:r>
      <w:r w:rsidRPr="000F4563">
        <w:rPr>
          <w:rFonts w:ascii="Times New Roman" w:hAnsi="Times New Roman"/>
          <w:sz w:val="24"/>
          <w:szCs w:val="24"/>
        </w:rPr>
        <w:t xml:space="preserve">, </w:t>
      </w:r>
      <w:r w:rsidRPr="000F4563">
        <w:rPr>
          <w:rFonts w:ascii="Times New Roman" w:hAnsi="Times New Roman"/>
          <w:sz w:val="24"/>
          <w:szCs w:val="24"/>
          <w:lang w:val="ru-RU"/>
        </w:rPr>
        <w:t>БИК</w:t>
      </w:r>
      <w:r w:rsidRPr="000F4563">
        <w:rPr>
          <w:rFonts w:ascii="Times New Roman" w:hAnsi="Times New Roman"/>
          <w:sz w:val="24"/>
          <w:szCs w:val="24"/>
        </w:rPr>
        <w:t xml:space="preserve">: 044583637, </w:t>
      </w:r>
      <w:r w:rsidRPr="000F4563">
        <w:rPr>
          <w:rFonts w:ascii="Times New Roman" w:hAnsi="Times New Roman"/>
          <w:sz w:val="24"/>
          <w:szCs w:val="24"/>
          <w:lang w:val="ru-RU"/>
        </w:rPr>
        <w:t>К</w:t>
      </w:r>
      <w:r w:rsidRPr="000F4563">
        <w:rPr>
          <w:rFonts w:ascii="Times New Roman" w:hAnsi="Times New Roman"/>
          <w:sz w:val="24"/>
          <w:szCs w:val="24"/>
        </w:rPr>
        <w:t>/</w:t>
      </w:r>
      <w:r w:rsidRPr="000F4563">
        <w:rPr>
          <w:rFonts w:ascii="Times New Roman" w:hAnsi="Times New Roman"/>
          <w:sz w:val="24"/>
          <w:szCs w:val="24"/>
          <w:lang w:val="ru-RU"/>
        </w:rPr>
        <w:t>С</w:t>
      </w:r>
      <w:r w:rsidRPr="000F4563">
        <w:rPr>
          <w:rFonts w:ascii="Times New Roman" w:hAnsi="Times New Roman"/>
          <w:sz w:val="24"/>
          <w:szCs w:val="24"/>
        </w:rPr>
        <w:t>: 0101810700000000637;</w:t>
      </w:r>
    </w:p>
    <w:p w:rsidR="00894CEB" w:rsidRPr="000F4563" w:rsidRDefault="005A6454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563">
        <w:rPr>
          <w:rFonts w:ascii="Times New Roman" w:hAnsi="Times New Roman"/>
          <w:sz w:val="24"/>
          <w:szCs w:val="24"/>
        </w:rPr>
        <w:t xml:space="preserve">Корреспондентский счет: №30111810809270000003, IBAN KZ746010201000175878 (EURO) Correspondent Bank: Deutsche Bank AG, Frankfurt </w:t>
      </w:r>
      <w:proofErr w:type="gramStart"/>
      <w:r w:rsidRPr="000F4563">
        <w:rPr>
          <w:rFonts w:ascii="Times New Roman" w:hAnsi="Times New Roman"/>
          <w:sz w:val="24"/>
          <w:szCs w:val="24"/>
        </w:rPr>
        <w:t>Am</w:t>
      </w:r>
      <w:proofErr w:type="gramEnd"/>
      <w:r w:rsidRPr="000F4563">
        <w:rPr>
          <w:rFonts w:ascii="Times New Roman" w:hAnsi="Times New Roman"/>
          <w:sz w:val="24"/>
          <w:szCs w:val="24"/>
        </w:rPr>
        <w:t xml:space="preserve"> Main, SWIFT BIC: DEUTDEFFXXX Corresp</w:t>
      </w:r>
      <w:r w:rsidR="00894CEB" w:rsidRPr="000F4563">
        <w:rPr>
          <w:rFonts w:ascii="Times New Roman" w:hAnsi="Times New Roman"/>
          <w:sz w:val="24"/>
          <w:szCs w:val="24"/>
        </w:rPr>
        <w:t xml:space="preserve">ondent Account: 10094721761000 </w:t>
      </w:r>
    </w:p>
    <w:p w:rsidR="00894CEB" w:rsidRPr="000F4563" w:rsidRDefault="00894CEB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5A6454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Предельные объемы работ и услуг, которые могут </w:t>
      </w:r>
      <w:proofErr w:type="gramStart"/>
      <w:r w:rsidRPr="000F4563">
        <w:rPr>
          <w:rFonts w:ascii="Times New Roman" w:hAnsi="Times New Roman"/>
          <w:b/>
          <w:sz w:val="24"/>
          <w:szCs w:val="24"/>
          <w:lang w:val="ru-RU"/>
        </w:rPr>
        <w:t>быть переданы потенциальным поставщиком соисполнителям составляет</w:t>
      </w:r>
      <w:proofErr w:type="gramEnd"/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 не более 2/3 от объема услуг.</w:t>
      </w:r>
    </w:p>
    <w:p w:rsidR="00894CEB" w:rsidRPr="000F4563" w:rsidRDefault="005A6454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Описание и требуемые технические, качественные и эксплуатационные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характеристики закупаемых работ указаны в Техническо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>задании</w:t>
      </w:r>
      <w:r w:rsidR="00894CEB" w:rsidRPr="000F4563">
        <w:rPr>
          <w:rFonts w:ascii="Times New Roman" w:hAnsi="Times New Roman"/>
          <w:b/>
          <w:sz w:val="24"/>
          <w:szCs w:val="24"/>
          <w:lang w:val="ru-RU"/>
        </w:rPr>
        <w:t xml:space="preserve"> (приложение №1)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94CEB" w:rsidRPr="000F4563" w:rsidRDefault="005A6454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Объемы закупаемых работ и услуг, являющиеся предметом проводимых закупок указаны в Техническо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>задании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94CEB" w:rsidRPr="000F4563">
        <w:rPr>
          <w:rFonts w:ascii="Times New Roman" w:hAnsi="Times New Roman"/>
          <w:b/>
          <w:sz w:val="24"/>
          <w:szCs w:val="24"/>
          <w:lang w:val="ru-RU"/>
        </w:rPr>
        <w:t xml:space="preserve">(приложение №1) 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к данной тендерной документации.</w:t>
      </w:r>
    </w:p>
    <w:p w:rsidR="005A6454" w:rsidRPr="000F4563" w:rsidRDefault="005A6454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Style w:val="s0"/>
          <w:b/>
          <w:lang w:val="ru-RU"/>
        </w:rPr>
        <w:t xml:space="preserve">Требуемые сроки (график) выполнения работ, оказания услуг, предоставление гарантии на качество предлагаемых работ, услуг 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указаны в Техническо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C4318" w:rsidRPr="000F4563">
        <w:rPr>
          <w:rFonts w:ascii="Times New Roman" w:hAnsi="Times New Roman"/>
          <w:b/>
          <w:sz w:val="24"/>
          <w:szCs w:val="24"/>
          <w:lang w:val="ru-RU"/>
        </w:rPr>
        <w:t>задании</w:t>
      </w:r>
      <w:r w:rsidR="00894CEB" w:rsidRPr="000F4563">
        <w:rPr>
          <w:rFonts w:ascii="Times New Roman" w:hAnsi="Times New Roman"/>
          <w:b/>
          <w:sz w:val="24"/>
          <w:szCs w:val="24"/>
          <w:lang w:val="ru-RU"/>
        </w:rPr>
        <w:t xml:space="preserve"> (приложение №1)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D4127" w:rsidRPr="000F4563" w:rsidRDefault="007D4127" w:rsidP="00B45E3D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5A6454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4C7403" w:rsidRPr="000F4563">
        <w:rPr>
          <w:rFonts w:ascii="Times New Roman" w:hAnsi="Times New Roman"/>
          <w:b/>
          <w:bCs/>
          <w:sz w:val="24"/>
          <w:szCs w:val="24"/>
          <w:lang w:val="ru-RU"/>
        </w:rPr>
        <w:t xml:space="preserve">2. </w:t>
      </w:r>
      <w:r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Требования к языку составления и представления тендерных заявок</w:t>
      </w:r>
    </w:p>
    <w:p w:rsidR="00F92C84" w:rsidRPr="000F4563" w:rsidRDefault="00F92C8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6454" w:rsidRPr="000F4563" w:rsidRDefault="005A6454" w:rsidP="005A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Заявка на участие в тендере составляется на русском языке в соответствии с законодательством Республики Казахстан. При этом заявка на участие в тендере может </w:t>
      </w:r>
      <w:r w:rsidRPr="000F4563">
        <w:rPr>
          <w:rFonts w:ascii="Times New Roman" w:hAnsi="Times New Roman"/>
          <w:sz w:val="24"/>
          <w:szCs w:val="24"/>
          <w:lang w:val="ru-RU"/>
        </w:rPr>
        <w:lastRenderedPageBreak/>
        <w:t>содержать документы, составленные на другом языке при условии, что к ним будет прилагаться нотариально-заверенная копия перевода на русский язык.</w:t>
      </w:r>
    </w:p>
    <w:p w:rsidR="008B1939" w:rsidRDefault="008B1939" w:rsidP="008B1939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5732EB" w:rsidRPr="000F4563" w:rsidRDefault="005732EB" w:rsidP="008B1939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833B9E" w:rsidRDefault="004C7403" w:rsidP="008B1939">
      <w:pPr>
        <w:pStyle w:val="a5"/>
        <w:ind w:firstLine="72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="0060546D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Условия внесения, содержание и виды обеспечения тендерной заявки</w:t>
      </w:r>
    </w:p>
    <w:p w:rsidR="00F92C84" w:rsidRPr="000F4563" w:rsidRDefault="00F92C84" w:rsidP="008B1939">
      <w:pPr>
        <w:pStyle w:val="a5"/>
        <w:ind w:firstLine="72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Размер обеспечения </w:t>
      </w:r>
      <w:r w:rsidR="00356945">
        <w:rPr>
          <w:rFonts w:ascii="Times New Roman" w:hAnsi="Times New Roman"/>
          <w:sz w:val="24"/>
          <w:szCs w:val="24"/>
          <w:lang w:val="ru-RU"/>
        </w:rPr>
        <w:t>З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аявки на участие в тендере составляет – 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1%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(один) процент от суммы, выделенной для закупки (без учета НДС).</w:t>
      </w:r>
    </w:p>
    <w:p w:rsidR="00F92C84" w:rsidRDefault="00F92C84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 xml:space="preserve">Потенциальный поставщик вносит обеспечение заявки на участие в тендере в  размере, указанном в преамбуле и настоящем разделе Тендерной документации, в качестве гарантии того, что он: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1) не отзовет свою заявку на участие в тендере после истечения окончательного срока представления заявок;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в случае определения его победителем тендера заключит договор с Заказчиком в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сроки, установленные протоколом об итогах тендера и внесет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обеспечение возврата аванса (предоплаты) и (или) обеспечение исполнения договора о закупках, в случае если условиями закупок предусмотрено внесение такого обеспечения.</w:t>
      </w:r>
    </w:p>
    <w:p w:rsidR="00F92C84" w:rsidRDefault="00F92C84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 xml:space="preserve">Потенциальный поставщик вправе выбрать только один из следующих видов обеспечения заявки на участие в тендере: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1) банковскую гарантию на бумажном носителе, по форме приложения №3 к Тендерной документации;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банковскую гарантию в виде электронной банковской гарантии, в соответствии с п.54 Инструкции по проведению электронных закупок.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В случае внесения потенциальным поставщиком обеспечения заявки на участие в электронном тендере в виде банковской гарантии (на бумажном носителе), ее оригинал предоставляется в отдел контрактов по закупкам ТРУ ТОО «СП «Казгермунай» в надлежаще оформленном виде и в запечатанном конверте, до окончательного срока предоставления заявок на участие в тендере </w:t>
      </w: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>секретарю тендерной комиссии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, по адресу: 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>120018 Республика Казахстан, Кызылординская обл., п. Тасбугет</w:t>
      </w:r>
      <w:proofErr w:type="gramEnd"/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, ул. Амангельды, д.100. </w:t>
      </w:r>
      <w:r w:rsidRPr="000F4563">
        <w:rPr>
          <w:rFonts w:ascii="Times New Roman" w:hAnsi="Times New Roman"/>
          <w:sz w:val="24"/>
          <w:szCs w:val="24"/>
          <w:lang w:val="ru-RU"/>
        </w:rPr>
        <w:t>(каб.№309).</w:t>
      </w:r>
    </w:p>
    <w:p w:rsidR="007247F0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Секретарь тендерной комиссии, </w:t>
      </w: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>в случае соответствия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представленной формы банковской гарантии, регистрирует ее в соответствующем журнале регистрации.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ab/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>Конверт с банковской гарантией должен быть оформлен по нижеследующему шаблону: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Кому: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ТОО «СП «КазГерМунай»;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Республика Казахстан, 120018, г. Кызылорда, пгт. Тасбугет 100;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БАНКОВСКАЯ ГАРАНТИЯ ПО ЗАКУПКАМ № _____________________________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>(№ закупки и наименование тендера)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Номер закупок в ИСЭЗ №________________________________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 ЛОТУ (АМ) №______________________________________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(</w:t>
      </w:r>
      <w:r w:rsidRPr="000F4563">
        <w:rPr>
          <w:rFonts w:ascii="Times New Roman" w:hAnsi="Times New Roman"/>
          <w:i/>
          <w:sz w:val="24"/>
          <w:szCs w:val="24"/>
          <w:lang w:val="ru-RU"/>
        </w:rPr>
        <w:t>Полное наименование и почтовый адрес потенциального поставщика,</w:t>
      </w:r>
      <w:proofErr w:type="gramEnd"/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 xml:space="preserve">контактные телефоны)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Потенциальному поставщику либо представителю потенциального поставщика при предоставлении Банковской гарантий для участия необходимо при себе  иметь документы удостоверяющие личность (</w:t>
      </w:r>
      <w:r w:rsidRPr="000F4563">
        <w:rPr>
          <w:rFonts w:ascii="Times New Roman" w:hAnsi="Times New Roman"/>
          <w:i/>
          <w:sz w:val="24"/>
          <w:szCs w:val="24"/>
          <w:lang w:val="ru-RU"/>
        </w:rPr>
        <w:t>в соответствии с законодательством РК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gramEnd"/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Срок действия обеспечения заявки на участие в тендере должен быть не менее срока действия заявки на участие в тендере.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Все заявки на участие в тендере, не содержащие подтверждения внесения обеспечения заявки на участие в тендере в соответствии с условиями тендерной документации, отклоняются тендерной комиссией, как не отвечающие требованиям Тендерной документации.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078" w:rsidRPr="00F92C84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92C84">
        <w:rPr>
          <w:rFonts w:ascii="Times New Roman" w:hAnsi="Times New Roman"/>
          <w:sz w:val="24"/>
          <w:szCs w:val="24"/>
          <w:u w:val="single"/>
          <w:lang w:val="ru-RU"/>
        </w:rPr>
        <w:t xml:space="preserve">Обеспечение заявки на участие в тендере, внесенное потенциальным поставщиком возвращается потенциальному поставщику в течение 10 (десяти) рабочих дней со дня наступления одного из следующих случаев: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1) отзыва данным потенциальным поставщиком своей заявки на участие в тендере до истечения окончательного срока представления заявок;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2) подписания протокола об итогах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3) вступления в силу договора о закупках и внесения победителем тендера обеспечения возврата аванса (предоплаты) и (или) исполнения договора о закупках, предусмотренного тендерной документацией;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4) вступления в силу договора о закупках и внесения потенциальным поставщиком, занявшим по итогам сопоставления и оценки второе место,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документацией.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Обеспечение заявки на участие в тендере, внесенное потенциальным поставщиком не возвращается при наступлении одного из следующих случаев: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1) потенциальный поставщик отозвал заявку на участие в тендере после истечения окончательного срока представления заявок;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3) победитель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4) потенциальный поставщик, занявший по итогам сопоставления и оценки второе место, определенный в случае, предусмотренном пунктом 84 Правил, уклонился от заключения договора о закупках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или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Положения настоящего пункта не распространяются на случаи: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с даты вскрытия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заявок на участие в тендере и до даты подписания договора о закупках; 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с даты подписания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</w:t>
      </w:r>
    </w:p>
    <w:p w:rsidR="003F1078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>Обеспечение заявки на участие в тендере не вносится: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lastRenderedPageBreak/>
        <w:t>1) организациями, входящими в Холдинг;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2) организациями инвалидов (физическими лицами - инвалидами, осуществляющими предпринимательскую деятельность), состоящими в Реестре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организаций инвалидов (физических лиц - инвалидов, осуществляющих предпринимат</w:t>
      </w:r>
      <w:r w:rsidR="005B48E6" w:rsidRPr="000F4563">
        <w:rPr>
          <w:rFonts w:ascii="Times New Roman" w:hAnsi="Times New Roman"/>
          <w:sz w:val="24"/>
          <w:szCs w:val="24"/>
          <w:lang w:val="ru-RU"/>
        </w:rPr>
        <w:t>ельскую деятельность) Холдинга.</w:t>
      </w: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>Положения настоящего пункта Правил не распространяются на консорциумы.</w:t>
      </w:r>
    </w:p>
    <w:p w:rsidR="00D676B7" w:rsidRPr="000F4563" w:rsidRDefault="00D676B7" w:rsidP="007E783A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078" w:rsidRDefault="004C7403" w:rsidP="008558D8">
      <w:pPr>
        <w:pStyle w:val="a5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="003F1078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Содержание</w:t>
      </w:r>
      <w:r w:rsidR="007410BB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3F1078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 представление заявок в тендере</w:t>
      </w:r>
    </w:p>
    <w:p w:rsidR="00F92C84" w:rsidRPr="000F4563" w:rsidRDefault="00F92C84" w:rsidP="008558D8">
      <w:pPr>
        <w:pStyle w:val="a5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3F1078" w:rsidRPr="000F4563" w:rsidRDefault="003F1078" w:rsidP="003F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Заявка на участие в открытом тендере должна содержать:</w:t>
      </w:r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1) заполненную и подписанную потенциальным поставщиком заявку на участие в открытом тендере в форме электронного документа</w:t>
      </w:r>
      <w:r w:rsidR="00D74B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74B36" w:rsidRPr="00286EB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при этом Заявка </w:t>
      </w:r>
      <w:r w:rsidR="00D74B36" w:rsidRPr="00286EB4">
        <w:rPr>
          <w:rFonts w:ascii="Times New Roman" w:hAnsi="Times New Roman"/>
          <w:b/>
          <w:sz w:val="24"/>
          <w:u w:val="single"/>
          <w:lang w:val="ru-RU"/>
        </w:rPr>
        <w:t>на участие в первом этапе двухэтапного тендера представляются без ценовых предложений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электронную копию лицензии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в формате электронного документа или электронной копии (в случае, если условиями тендера предполагается деятельность, которая подлежит обязательному лицензированию); </w:t>
      </w:r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3) 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документацией; </w:t>
      </w:r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4) электронные копии документов о соответствии статуса участника закупок (в случае, если проведение закупок предусмотрено среди участников, перечисленных в пункте 38 Правил закупок Холдинга); </w:t>
      </w:r>
    </w:p>
    <w:p w:rsidR="00635852" w:rsidRPr="000F4563" w:rsidRDefault="00AD6B01" w:rsidP="00416E5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5) электронные копии документов, подтверждающих соответствие требованиям, установленным подпунктами 3) – 5) пункта 37 Правил закупок Холдинга (в случае, если тендерной документацией предусмотрены такие требования); </w:t>
      </w:r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6) перечень субподрядчиков по выполнению работ (соисполнителей при оказании услуг) в форме электронного документа или электронной копии, объем и виды передаваемых на субподряд (соисполнение) работ и услуг, который не должен превышать определенного в тендерной документации предельного объема работ и услуг (в случае, если тендерной документацией предусматривается право потенциального поставщика на привлечение субподрядчиков (соисполнителей) для выполнения работ либо оказания услуг); </w:t>
      </w:r>
      <w:proofErr w:type="gramEnd"/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7) 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 </w:t>
      </w:r>
      <w:proofErr w:type="gramEnd"/>
    </w:p>
    <w:p w:rsidR="00B02D52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8) </w:t>
      </w:r>
      <w:r w:rsidRPr="00D74B36">
        <w:rPr>
          <w:rFonts w:ascii="Times New Roman" w:hAnsi="Times New Roman"/>
          <w:sz w:val="24"/>
          <w:szCs w:val="24"/>
          <w:lang w:val="ru-RU"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(в случае, если тендерной документацией предусматривается внесение обеспечения заявки на участие в открытом тендере)</w:t>
      </w:r>
      <w:r w:rsidR="00B02D52" w:rsidRPr="000F4563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894CEB" w:rsidRPr="000F4563" w:rsidRDefault="00AD6B01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9) электронную копию документа о назначении (избрании) первого руководителя потенциального поставщика (в случае участия консорциума представляется оригинал или электронная копия документа о назначении (избрании) первого руководителя каждого </w:t>
      </w:r>
      <w:r w:rsidRPr="000F4563">
        <w:rPr>
          <w:rFonts w:ascii="Times New Roman" w:hAnsi="Times New Roman"/>
          <w:sz w:val="24"/>
          <w:szCs w:val="24"/>
          <w:lang w:val="ru-RU"/>
        </w:rPr>
        <w:lastRenderedPageBreak/>
        <w:t xml:space="preserve">юридического лица, входящего в консорциум, а также электронная копия документа, подтверждающего право подписания соглашения о консорциуме уполномоченным лицом каждого юридического лица, входящего в консорциум); </w:t>
      </w:r>
      <w:proofErr w:type="gramEnd"/>
    </w:p>
    <w:p w:rsidR="00894CEB" w:rsidRPr="000F4563" w:rsidRDefault="00894CEB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 случае участия в тендере консорциума обязательные критерии оценки и сопоставления заявок потенциальных поставщиков на участие в тендере, влияющие на условное понижение цены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894CEB" w:rsidRPr="000F4563" w:rsidRDefault="00AD6B01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10) электронные копии документов, подтверждающих применимость к заявке критериев оценки и сопоставления, указанных в пункте 39 Правил закупок Холдинга (в случае, если потенциальный поставщик претендует на применение критериев, влияющи</w:t>
      </w:r>
      <w:r w:rsidR="00894CEB" w:rsidRPr="000F4563">
        <w:rPr>
          <w:rFonts w:ascii="Times New Roman" w:hAnsi="Times New Roman"/>
          <w:sz w:val="24"/>
          <w:szCs w:val="24"/>
          <w:lang w:val="ru-RU"/>
        </w:rPr>
        <w:t xml:space="preserve">х на условное понижение цены). </w:t>
      </w:r>
    </w:p>
    <w:p w:rsidR="00AD6B01" w:rsidRPr="000F4563" w:rsidRDefault="00AD6B01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 </w:t>
      </w:r>
    </w:p>
    <w:p w:rsidR="00EF478D" w:rsidRPr="000F4563" w:rsidRDefault="00AD6B01" w:rsidP="00EF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11) </w:t>
      </w:r>
      <w:r w:rsidR="00EF478D" w:rsidRPr="000F4563">
        <w:rPr>
          <w:rFonts w:ascii="Times New Roman" w:hAnsi="Times New Roman"/>
          <w:sz w:val="24"/>
          <w:szCs w:val="24"/>
          <w:lang w:val="ru-RU"/>
        </w:rPr>
        <w:t xml:space="preserve">ценовое предложение </w:t>
      </w:r>
      <w:r w:rsidR="00997D6D">
        <w:rPr>
          <w:rFonts w:ascii="Times New Roman" w:hAnsi="Times New Roman"/>
          <w:sz w:val="24"/>
          <w:szCs w:val="24"/>
          <w:lang w:val="ru-RU"/>
        </w:rPr>
        <w:t>(</w:t>
      </w:r>
      <w:r w:rsidR="00997D6D" w:rsidRPr="00997D6D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предоставляется на втором этапе</w:t>
      </w:r>
      <w:r w:rsidR="00997D6D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 xml:space="preserve"> открытого тендера</w:t>
      </w:r>
      <w:r w:rsidR="00997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F478D" w:rsidRPr="000F4563">
        <w:rPr>
          <w:rFonts w:ascii="Times New Roman" w:hAnsi="Times New Roman"/>
          <w:sz w:val="24"/>
          <w:szCs w:val="24"/>
          <w:lang w:val="ru-RU"/>
        </w:rPr>
        <w:t>в форме электронного документа, подписанное потенциальным поставщиком</w:t>
      </w:r>
      <w:r w:rsidR="00D74B36">
        <w:rPr>
          <w:rFonts w:ascii="Times New Roman" w:hAnsi="Times New Roman"/>
          <w:sz w:val="24"/>
          <w:szCs w:val="24"/>
          <w:lang w:val="ru-RU"/>
        </w:rPr>
        <w:t>,</w:t>
      </w:r>
      <w:r w:rsidR="00EF478D" w:rsidRPr="000F4563">
        <w:rPr>
          <w:rFonts w:ascii="Times New Roman" w:hAnsi="Times New Roman"/>
          <w:sz w:val="24"/>
          <w:szCs w:val="24"/>
          <w:lang w:val="ru-RU"/>
        </w:rPr>
        <w:t xml:space="preserve"> форма и содержание которого должно соответствовать обязательным требованиям, указанным в подпункте 12) пункта 37 Правил закупок Холдинга;</w:t>
      </w:r>
      <w:proofErr w:type="gramEnd"/>
    </w:p>
    <w:p w:rsidR="00EF478D" w:rsidRPr="000F4563" w:rsidRDefault="00EF478D" w:rsidP="00EF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Ценовое предложение потенциального поставщика должно содержать цену за единицу, а также общую/итоговую цену товаров (без учета НДС), с включенными в нее расходами на их транспортировку и страхование, оплату таможенных пошлин, других налогов, сборов, а также иных расходов, предусмотренных условиями поставки товаров.</w:t>
      </w:r>
    </w:p>
    <w:p w:rsidR="00EF478D" w:rsidRPr="000F4563" w:rsidRDefault="00EF478D" w:rsidP="00EF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Ценовое предложение потенциального поставщика заполняется в Информационной Системе Электронных Закупок. </w:t>
      </w:r>
    </w:p>
    <w:p w:rsidR="00EF478D" w:rsidRPr="000F4563" w:rsidRDefault="00EF478D" w:rsidP="00EF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Ценовое предложение потенциального поставщика, являющегося резидентом Республики Казахстан, должно быть выражено в тенге. </w:t>
      </w:r>
    </w:p>
    <w:p w:rsidR="00EF478D" w:rsidRPr="000F4563" w:rsidRDefault="00EF478D" w:rsidP="00EF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Ценовое предложение потенциального поставщика, не являющегося резидентом Республики Казахстан, может быть выражено в иной валюте.</w:t>
      </w:r>
    </w:p>
    <w:p w:rsidR="00EF478D" w:rsidRPr="000F4563" w:rsidRDefault="00EF478D" w:rsidP="00EF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Если ценовые предложения потенциальных поставщиков выражены в различных валютах, то для их оценки и сопоставления они переводятся в валюту Республики Казахстан, тенге, по официальному курсу национальной валюты Республики Казахстан к иностранным валютам, установленному Национальным Банком Республики Казахстан, на день вскрытия заявок на участие в тендере.</w:t>
      </w:r>
    </w:p>
    <w:p w:rsidR="00AD6B01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12) 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(www.e.gov.kz)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(консорциум) - электронную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копию соглашения о консорциуме и электронные копии свидетельств о государственной регистрации (перерегистрации) участников консорциума. </w:t>
      </w:r>
    </w:p>
    <w:p w:rsidR="000E5A49" w:rsidRPr="000F4563" w:rsidRDefault="00AD6B0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13) электронную копию документа, содержащего сведения об учредителях: электронную копию устава, утвержденного в установленном законодательством</w:t>
      </w:r>
      <w:r w:rsidR="008B1939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5A49" w:rsidRPr="000F4563">
        <w:rPr>
          <w:rFonts w:ascii="Times New Roman" w:hAnsi="Times New Roman"/>
          <w:sz w:val="24"/>
          <w:szCs w:val="24"/>
          <w:lang w:val="ru-RU"/>
        </w:rPr>
        <w:t>порядке, для юридических лиц, зарегистрированных на основании типового устава – электронную копию заявления установленной формы о регистрации юридического лица (в случае участия консорциума представляется электронная копия устава каждого юридического лица, входящего в консорциум), электронную копию выписки из реестра держателей акций, выданная не более чем за 30</w:t>
      </w:r>
      <w:proofErr w:type="gramEnd"/>
      <w:r w:rsidR="000E5A49" w:rsidRPr="000F4563">
        <w:rPr>
          <w:rFonts w:ascii="Times New Roman" w:hAnsi="Times New Roman"/>
          <w:sz w:val="24"/>
          <w:szCs w:val="24"/>
          <w:lang w:val="ru-RU"/>
        </w:rPr>
        <w:t xml:space="preserve"> (тридцать) календарных дней до даты вскрытия, а также электронную копию иного </w:t>
      </w:r>
      <w:r w:rsidR="000E5A49" w:rsidRPr="000F4563">
        <w:rPr>
          <w:rFonts w:ascii="Times New Roman" w:hAnsi="Times New Roman"/>
          <w:sz w:val="24"/>
          <w:szCs w:val="24"/>
          <w:lang w:val="ru-RU"/>
        </w:rPr>
        <w:lastRenderedPageBreak/>
        <w:t xml:space="preserve">документа содержащего, сведения об учредителях выданного в соответствии с законодательством. </w:t>
      </w:r>
    </w:p>
    <w:p w:rsidR="000E5A49" w:rsidRPr="000F4563" w:rsidRDefault="000E5A49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14) 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 </w:t>
      </w:r>
    </w:p>
    <w:p w:rsidR="000E5A49" w:rsidRPr="000F4563" w:rsidRDefault="000E5A49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15) сведения о конфликте интересов, соответствующие форме и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содержанию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установленным в тендерной документации (</w:t>
      </w:r>
      <w:r w:rsidRPr="00997D6D">
        <w:rPr>
          <w:rFonts w:ascii="Times New Roman" w:hAnsi="Times New Roman"/>
          <w:sz w:val="24"/>
          <w:szCs w:val="24"/>
          <w:u w:val="single"/>
          <w:lang w:val="ru-RU"/>
        </w:rPr>
        <w:t>при участии в тендере по закупке консультационных услуг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) в форме электронного документа или электронной копии; </w:t>
      </w:r>
    </w:p>
    <w:p w:rsidR="000E5A49" w:rsidRPr="000F4563" w:rsidRDefault="000E5A49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16) 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копии; </w:t>
      </w:r>
    </w:p>
    <w:p w:rsidR="000E5A49" w:rsidRPr="000F4563" w:rsidRDefault="000E5A49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17) электронную копию доверенности, выданную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поставщика.</w:t>
      </w:r>
    </w:p>
    <w:p w:rsidR="00894CEB" w:rsidRPr="000F4563" w:rsidRDefault="00416E52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18) гарантийное обязательство потенциального поставщика, подписанное первым  руководителем потенциального поставщика либо лицом, им уполномоченным о приобретении отечественных товаров, необходимых для выполнения работ, в случае если такие товары производятся на территории Республики Казахстан.</w:t>
      </w:r>
    </w:p>
    <w:p w:rsidR="002526F3" w:rsidRPr="000F4563" w:rsidRDefault="002526F3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Документы, предусмотренные подпунктами 1) и 11) настоящего пункта Инструкции формируются потенциальным поставщиком в Системе. </w:t>
      </w:r>
      <w:proofErr w:type="gramEnd"/>
    </w:p>
    <w:p w:rsidR="002526F3" w:rsidRPr="000F4563" w:rsidRDefault="002526F3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6B01" w:rsidRPr="000F4563" w:rsidRDefault="000E5A49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Заявка на участие в открытом тендере должна соответствовать требованиям к языку составления и представления заявок на участие в тендере, изложенного в тендерной документации, а также срок действия заявки на участие в открытом тендере должен соответствовать или быть не менее срока, установленного тендерной документацией.</w:t>
      </w:r>
      <w:r w:rsidR="00894CEB" w:rsidRPr="000F4563"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0F4563">
        <w:rPr>
          <w:rFonts w:ascii="Times New Roman" w:hAnsi="Times New Roman"/>
          <w:sz w:val="24"/>
          <w:szCs w:val="24"/>
          <w:lang w:val="ru-RU"/>
        </w:rPr>
        <w:t>отенциальный поставщик-нерезидент Республики Казахстан представляет такие же документы, предусмотренные настоящим пунктом, что и резиденты Республики Казахстан, либо документы, содержащие аналогичные сведения.</w:t>
      </w:r>
    </w:p>
    <w:p w:rsidR="00F92C84" w:rsidRDefault="00F92C84" w:rsidP="0025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26F3" w:rsidRPr="000F4563" w:rsidRDefault="002526F3" w:rsidP="0025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1).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 по закупкам;</w:t>
      </w:r>
    </w:p>
    <w:p w:rsidR="002526F3" w:rsidRPr="000F4563" w:rsidRDefault="002526F3" w:rsidP="0025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2).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Заявки на участие в тендере, поданные потенциальными поставщиками, автоматически регистрируются в Системе;</w:t>
      </w:r>
    </w:p>
    <w:p w:rsidR="002526F3" w:rsidRPr="000F4563" w:rsidRDefault="002526F3" w:rsidP="0025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3).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 xml:space="preserve">потенциальному поставщику, подавшему заявку на участие в электронных закупках способом </w:t>
      </w:r>
      <w:r w:rsidR="005732EB">
        <w:rPr>
          <w:rFonts w:ascii="Times New Roman" w:hAnsi="Times New Roman"/>
          <w:sz w:val="24"/>
          <w:szCs w:val="24"/>
          <w:lang w:val="ru-RU"/>
        </w:rPr>
        <w:t xml:space="preserve">двухэтапного </w:t>
      </w:r>
      <w:r w:rsidRPr="000F4563">
        <w:rPr>
          <w:rFonts w:ascii="Times New Roman" w:hAnsi="Times New Roman"/>
          <w:sz w:val="24"/>
          <w:szCs w:val="24"/>
          <w:lang w:val="ru-RU"/>
        </w:rPr>
        <w:t>тендера автоматически направляется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Системой соответствующее уведомление;</w:t>
      </w:r>
    </w:p>
    <w:p w:rsidR="002526F3" w:rsidRPr="000F4563" w:rsidRDefault="002526F3" w:rsidP="0025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4).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Система помещает поступившие заявки в недоступное извне защищенное хранилище до наступления даты и времени вскрытия заявок, указанных в объявлении. </w:t>
      </w:r>
    </w:p>
    <w:p w:rsidR="00416E52" w:rsidRDefault="00416E52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2EB" w:rsidRDefault="005732EB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2EB" w:rsidRDefault="005732EB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2EB" w:rsidRDefault="005732EB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2EB" w:rsidRDefault="005732EB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2EB" w:rsidRDefault="005732EB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005" w:rsidRPr="000F4563" w:rsidRDefault="004C7403" w:rsidP="00DC100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5. </w:t>
      </w:r>
      <w:r w:rsidR="00DC1005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Критерии оценки и сопоставления заявок потенциальных</w:t>
      </w:r>
    </w:p>
    <w:p w:rsidR="00DC1005" w:rsidRDefault="00DC1005" w:rsidP="004C7403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Поставщиков</w:t>
      </w:r>
    </w:p>
    <w:p w:rsidR="00997D6D" w:rsidRPr="000F4563" w:rsidRDefault="00997D6D" w:rsidP="004C740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276"/>
        <w:gridCol w:w="2412"/>
      </w:tblGrid>
      <w:tr w:rsidR="00DC1005" w:rsidRPr="000F4563" w:rsidTr="00D451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6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276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412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Условное снижение цены</w:t>
            </w:r>
          </w:p>
        </w:tc>
      </w:tr>
      <w:tr w:rsidR="00DC1005" w:rsidRPr="000F4563" w:rsidTr="00D4516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36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76" w:type="dxa"/>
          </w:tcPr>
          <w:p w:rsidR="00DC1005" w:rsidRPr="000F4563" w:rsidRDefault="00DC1005" w:rsidP="004C74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</w:p>
        </w:tc>
        <w:tc>
          <w:tcPr>
            <w:tcW w:w="2412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1%</w:t>
            </w:r>
          </w:p>
        </w:tc>
      </w:tr>
      <w:tr w:rsidR="00DC1005" w:rsidRPr="000F4563" w:rsidTr="00D4516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36" w:type="dxa"/>
          </w:tcPr>
          <w:p w:rsidR="00DC1005" w:rsidRPr="000F4563" w:rsidRDefault="00416E52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6" w:type="dxa"/>
          </w:tcPr>
          <w:p w:rsidR="00DC1005" w:rsidRPr="000F4563" w:rsidRDefault="00DC1005" w:rsidP="004C74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наличие у потенциального поставщика опыта работы на однородном рынке закупаемых товаров, работ, услуг, в течение последних 5 лет,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услуг.</w:t>
            </w:r>
          </w:p>
        </w:tc>
        <w:tc>
          <w:tcPr>
            <w:tcW w:w="2412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- 1,5% за 3 года опыта работы</w:t>
            </w:r>
          </w:p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и 0,5% за каждый</w:t>
            </w:r>
          </w:p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последующий 1 год работы,</w:t>
            </w:r>
          </w:p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но не более 2,5%</w:t>
            </w:r>
          </w:p>
        </w:tc>
      </w:tr>
      <w:tr w:rsidR="00DC1005" w:rsidRPr="000F4563" w:rsidTr="00D4516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6" w:type="dxa"/>
          </w:tcPr>
          <w:p w:rsidR="00DC1005" w:rsidRPr="000F4563" w:rsidRDefault="00416E52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76" w:type="dxa"/>
          </w:tcPr>
          <w:p w:rsidR="00DC1005" w:rsidRPr="000F4563" w:rsidRDefault="00DC1005" w:rsidP="004C74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сертификат;</w:t>
            </w:r>
          </w:p>
        </w:tc>
        <w:tc>
          <w:tcPr>
            <w:tcW w:w="2412" w:type="dxa"/>
          </w:tcPr>
          <w:p w:rsidR="00DC1005" w:rsidRPr="000F4563" w:rsidRDefault="00DC1005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1%</w:t>
            </w:r>
          </w:p>
        </w:tc>
      </w:tr>
      <w:tr w:rsidR="00DC1005" w:rsidRPr="000F4563" w:rsidTr="00D4516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6" w:type="dxa"/>
          </w:tcPr>
          <w:p w:rsidR="00DC1005" w:rsidRPr="000F4563" w:rsidRDefault="00416E52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76" w:type="dxa"/>
          </w:tcPr>
          <w:p w:rsidR="00DC1005" w:rsidRPr="000F4563" w:rsidRDefault="00DC1005" w:rsidP="004C7403">
            <w:pPr>
              <w:pStyle w:val="a"/>
              <w:numPr>
                <w:ilvl w:val="0"/>
                <w:numId w:val="0"/>
              </w:numPr>
              <w:tabs>
                <w:tab w:val="clear" w:pos="993"/>
                <w:tab w:val="left" w:pos="1134"/>
              </w:tabs>
              <w:rPr>
                <w:rFonts w:ascii="Times New Roman" w:hAnsi="Times New Roman" w:cs="Times New Roman"/>
              </w:rPr>
            </w:pPr>
            <w:proofErr w:type="gramStart"/>
            <w:r w:rsidRPr="000F4563">
              <w:rPr>
                <w:rFonts w:ascii="Times New Roman" w:hAnsi="Times New Roman" w:cs="Times New Roman"/>
                <w:bCs/>
              </w:rPr>
              <w:t>гарантийное обязательство потенциального поставщика по доле местного со</w:t>
            </w:r>
            <w:r w:rsidR="004C7403" w:rsidRPr="000F4563">
              <w:rPr>
                <w:rFonts w:ascii="Times New Roman" w:hAnsi="Times New Roman" w:cs="Times New Roman"/>
                <w:bCs/>
              </w:rPr>
              <w:t xml:space="preserve">держания в работах или услугах, </w:t>
            </w:r>
            <w:r w:rsidRPr="000F4563">
              <w:rPr>
                <w:rFonts w:ascii="Times New Roman" w:hAnsi="Times New Roman" w:cs="Times New Roman"/>
                <w:bCs/>
              </w:rPr>
              <w:t xml:space="preserve">подписанное первым руководителем потенциального поставщика либо лицом им уполномоченным, с указанием процентного значения местного содержания в предлагаемых работах или услугах </w:t>
            </w:r>
            <w:r w:rsidRPr="000F4563">
              <w:rPr>
                <w:rStyle w:val="s0"/>
                <w:bCs/>
              </w:rPr>
              <w:t>и содержащее расчет доли местного содержания, подтверждающий итоговое процентное значение местного содержания в предлагаемых работах или услугах, произведенный в соответствии с требованиями</w:t>
            </w:r>
            <w:r w:rsidRPr="000F4563">
              <w:rPr>
                <w:rFonts w:ascii="Times New Roman" w:hAnsi="Times New Roman" w:cs="Times New Roman"/>
              </w:rPr>
              <w:t xml:space="preserve"> </w:t>
            </w:r>
            <w:r w:rsidRPr="000F4563">
              <w:rPr>
                <w:rStyle w:val="s0"/>
              </w:rPr>
              <w:t>Единой методики расчета организациями местного содержания</w:t>
            </w:r>
            <w:proofErr w:type="gramEnd"/>
            <w:r w:rsidRPr="000F4563">
              <w:rPr>
                <w:rStyle w:val="s0"/>
              </w:rPr>
              <w:t xml:space="preserve"> при закупках товаров, работ и услуг, утверждаемой в соответствии с законодательством Республики Казахстан о недрах и недропользовании (далее – Единая методика расчета местного содержания).</w:t>
            </w:r>
          </w:p>
          <w:p w:rsidR="00DC1005" w:rsidRPr="000F4563" w:rsidRDefault="00DC1005" w:rsidP="004C740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случае несоответствия расчета доли местного содержания, указанного в настоящем подпункте, требованиям</w:t>
            </w:r>
            <w:r w:rsidRPr="000F4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Единой методики расчета местного содержания</w:t>
            </w:r>
            <w:r w:rsidRPr="000F4563">
              <w:rPr>
                <w:rStyle w:val="s0"/>
                <w:bCs/>
                <w:sz w:val="24"/>
                <w:szCs w:val="24"/>
                <w:lang w:val="ru-RU"/>
              </w:rPr>
              <w:t xml:space="preserve"> или технической спецификации тендерной документации тендерная комиссия не применяет к потенциальному поставщику условную скидку по критерию, определенному настоящим подпунктом;</w:t>
            </w:r>
            <w:r w:rsidRPr="000F45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2" w:type="dxa"/>
          </w:tcPr>
          <w:p w:rsidR="00DC1005" w:rsidRPr="000F4563" w:rsidRDefault="004C7403" w:rsidP="00D4516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563">
              <w:rPr>
                <w:rFonts w:ascii="Times New Roman" w:hAnsi="Times New Roman"/>
                <w:bCs/>
                <w:sz w:val="24"/>
                <w:lang w:val="ru-RU"/>
              </w:rPr>
              <w:t>условное снижение цены на 0,1% за каждый 1% местного содержания</w:t>
            </w:r>
          </w:p>
        </w:tc>
      </w:tr>
    </w:tbl>
    <w:p w:rsidR="00CE76F0" w:rsidRDefault="00CE76F0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7D6D" w:rsidRPr="000F4563" w:rsidRDefault="00997D6D" w:rsidP="008B1939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C7403" w:rsidP="0089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6. </w:t>
      </w:r>
      <w:r w:rsidR="007410BB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</w:t>
      </w:r>
      <w:r w:rsidR="00B979C2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орядок рассмотрения заяво</w:t>
      </w:r>
      <w:r w:rsidR="00894CEB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 на участие в тендере</w:t>
      </w:r>
    </w:p>
    <w:p w:rsidR="00894CEB" w:rsidRPr="000F4563" w:rsidRDefault="00894CEB" w:rsidP="0089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894CEB" w:rsidRPr="000F4563" w:rsidRDefault="000E5A49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Заявки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ержимого представленных заявок. </w:t>
      </w:r>
      <w:r w:rsidRPr="000F4563">
        <w:rPr>
          <w:rFonts w:ascii="Times New Roman" w:hAnsi="Times New Roman"/>
          <w:sz w:val="24"/>
          <w:szCs w:val="24"/>
          <w:lang w:val="ru-RU"/>
        </w:rPr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.</w:t>
      </w:r>
    </w:p>
    <w:p w:rsidR="006E10D9" w:rsidRPr="000F4563" w:rsidRDefault="006E10D9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Заявки рассматриваются тендерной комиссией на предмет соответствия заявок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требованиям Тендерной документации. Не отклоненные по основаниям,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указанным в Тендерной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документации, заявки потенциальных поставщиков допускаются </w:t>
      </w:r>
      <w:r w:rsidR="005732EB">
        <w:rPr>
          <w:rFonts w:ascii="Times New Roman" w:hAnsi="Times New Roman"/>
          <w:sz w:val="24"/>
          <w:szCs w:val="24"/>
          <w:lang w:val="ru-RU"/>
        </w:rPr>
        <w:t>ко второму этапу двухэтапного тендера</w:t>
      </w:r>
      <w:r w:rsidRPr="000F4563">
        <w:rPr>
          <w:rFonts w:ascii="Times New Roman" w:hAnsi="Times New Roman"/>
          <w:sz w:val="24"/>
          <w:szCs w:val="24"/>
          <w:lang w:val="ru-RU"/>
        </w:rPr>
        <w:t>.</w:t>
      </w:r>
    </w:p>
    <w:p w:rsidR="00894CEB" w:rsidRPr="000F4563" w:rsidRDefault="00B979C2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1. Заявки на участие в открытом тендере рассматриваются тендерной комиссией на предмет соответствия заявок требованиям пункта 49 Правил (с учетом требований п.59 Инструкции по проведению электронных закупок). Не отклоненные по основаниям, указанным в пункте 68 Правил, заявки сопоставляются и оцениваются тендерной комиссией в целях выбора победителя открытого </w:t>
      </w:r>
      <w:r w:rsidR="009170F2">
        <w:rPr>
          <w:rFonts w:ascii="Times New Roman" w:hAnsi="Times New Roman"/>
          <w:sz w:val="24"/>
          <w:szCs w:val="24"/>
          <w:lang w:val="ru-RU"/>
        </w:rPr>
        <w:t xml:space="preserve">двухэтапного </w:t>
      </w:r>
      <w:r w:rsidRPr="000F4563">
        <w:rPr>
          <w:rFonts w:ascii="Times New Roman" w:hAnsi="Times New Roman"/>
          <w:sz w:val="24"/>
          <w:szCs w:val="24"/>
          <w:lang w:val="ru-RU"/>
        </w:rPr>
        <w:t>тендера.</w:t>
      </w:r>
    </w:p>
    <w:p w:rsidR="006E10D9" w:rsidRPr="000F4563" w:rsidRDefault="00B979C2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Заявки рассматриваются тендерной комиссией в срок не более 10 (десяти)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рабочих дней со дня вскрытия конвертов с заявками на участие в тендере. При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проведении закупок работ,</w:t>
      </w:r>
      <w:r w:rsidR="00997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услуг имеющих сложные технические характеристики и спецификации, заявки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рассматриваются тендерной комиссией с привлечением эксперта (экспертной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комиссии) в срок не более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20 (двадцати) рабочих дней со дня вскрытия конвертов с заявками на участие в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0D9" w:rsidRPr="000F4563">
        <w:rPr>
          <w:rFonts w:ascii="Times New Roman" w:hAnsi="Times New Roman"/>
          <w:sz w:val="24"/>
          <w:szCs w:val="24"/>
          <w:lang w:val="ru-RU"/>
        </w:rPr>
        <w:t>тендере.</w:t>
      </w:r>
    </w:p>
    <w:p w:rsidR="00B979C2" w:rsidRPr="000F4563" w:rsidRDefault="00B979C2" w:rsidP="00B9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F4563">
        <w:rPr>
          <w:rFonts w:ascii="Times New Roman" w:hAnsi="Times New Roman"/>
          <w:sz w:val="24"/>
          <w:szCs w:val="24"/>
          <w:lang w:val="ru-RU"/>
        </w:rPr>
        <w:t>В случае проведения закупок товаров, по которым часть лотов или один лот требуют дополнительного рассмотрения, связанного с испытанием продукции, в связи с предложением потенциальным поставщиком альтернативных технических характеристик и (или) технологических решений при ее производстве, срок рассмотрения заявок по данному лоту (лотам) дополнительно продлевается до получения результатов испытаний, но не более чем на 20 (двадцать) рабочих дней.</w:t>
      </w:r>
      <w:proofErr w:type="gramEnd"/>
      <w:r w:rsidRPr="000F4563">
        <w:rPr>
          <w:rFonts w:ascii="Times New Roman" w:hAnsi="Times New Roman"/>
          <w:sz w:val="24"/>
          <w:szCs w:val="24"/>
          <w:lang w:val="ru-RU"/>
        </w:rPr>
        <w:t xml:space="preserve"> При этом по оставшимся лотам, не требующим дополнительного рассмотрения, заявки тендерной комиссией рассматриваются в сроки, установленные абзацем первым настоящего пункта.</w:t>
      </w:r>
    </w:p>
    <w:p w:rsidR="00B979C2" w:rsidRPr="000F4563" w:rsidRDefault="00B979C2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0D9" w:rsidRPr="000F4563" w:rsidRDefault="006E10D9" w:rsidP="008B1939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При рассмотрении заявок на участие в тендере тендерная комиссия вправе:</w:t>
      </w:r>
    </w:p>
    <w:p w:rsidR="00165871" w:rsidRPr="000F4563" w:rsidRDefault="006E10D9" w:rsidP="001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165871" w:rsidRPr="000F4563">
        <w:rPr>
          <w:rFonts w:ascii="Times New Roman" w:hAnsi="Times New Roman"/>
          <w:sz w:val="24"/>
          <w:szCs w:val="24"/>
          <w:lang w:val="ru-RU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:rsidR="00165871" w:rsidRPr="000F4563" w:rsidRDefault="00165871" w:rsidP="001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 </w:t>
      </w:r>
    </w:p>
    <w:p w:rsidR="00165871" w:rsidRPr="000F4563" w:rsidRDefault="00165871" w:rsidP="001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</w:t>
      </w:r>
    </w:p>
    <w:p w:rsidR="00066FED" w:rsidRPr="000F4563" w:rsidRDefault="00066FED" w:rsidP="001658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51E0" w:rsidRPr="000F4563" w:rsidRDefault="00FB51E0" w:rsidP="008B1939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Тендерная комиссия отклоняет заявку в случае:</w:t>
      </w:r>
    </w:p>
    <w:p w:rsidR="00FB51E0" w:rsidRPr="000F4563" w:rsidRDefault="00FB51E0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1) признания заявки на участие в тендере несоответствующей требованиям, предусмотренным </w:t>
      </w:r>
      <w:hyperlink w:anchor="sub4900" w:history="1">
        <w:r w:rsidRPr="000F4563">
          <w:rPr>
            <w:rFonts w:ascii="Times New Roman" w:hAnsi="Times New Roman"/>
            <w:sz w:val="24"/>
            <w:szCs w:val="24"/>
            <w:lang w:val="ru-RU"/>
          </w:rPr>
          <w:t>пунктом 49</w:t>
        </w:r>
      </w:hyperlink>
      <w:r w:rsidRPr="000F4563">
        <w:rPr>
          <w:rFonts w:ascii="Times New Roman" w:hAnsi="Times New Roman"/>
          <w:sz w:val="24"/>
          <w:szCs w:val="24"/>
          <w:lang w:val="ru-RU"/>
        </w:rPr>
        <w:t xml:space="preserve"> Правил, за исключением случаев, несоответствия технической спецификации, когда потенциальный поставщик предлагает лучшие условия поставки товара, </w:t>
      </w:r>
      <w:r w:rsidRPr="000F4563">
        <w:rPr>
          <w:rFonts w:ascii="Times New Roman" w:hAnsi="Times New Roman"/>
          <w:sz w:val="24"/>
          <w:szCs w:val="24"/>
          <w:lang w:val="ru-RU"/>
        </w:rPr>
        <w:lastRenderedPageBreak/>
        <w:t>выполнения работ, оказания услуг, а также лучшие характеристики закупаемых товаров, работ, услуг;</w:t>
      </w:r>
    </w:p>
    <w:p w:rsidR="00FB51E0" w:rsidRPr="000F4563" w:rsidRDefault="00FB51E0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2) если 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FB51E0" w:rsidRPr="000F4563" w:rsidRDefault="00FB51E0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3) ценовое предложение потенциального поставщика превышает сумму, выделенную для закупки;</w:t>
      </w:r>
    </w:p>
    <w:p w:rsidR="00FB51E0" w:rsidRPr="000F4563" w:rsidRDefault="00FB51E0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4) ценовое предложение потенциального поставщика признано тендерной комиссией демпинговым;</w:t>
      </w:r>
    </w:p>
    <w:p w:rsidR="00894CEB" w:rsidRPr="000F4563" w:rsidRDefault="00FB51E0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5) 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Холдинга и (или) в Реестре недобросовестных участников государственных закупок и </w:t>
      </w:r>
      <w:r w:rsidR="00894CEB" w:rsidRPr="000F4563">
        <w:rPr>
          <w:rFonts w:ascii="Times New Roman" w:hAnsi="Times New Roman"/>
          <w:sz w:val="24"/>
          <w:szCs w:val="24"/>
          <w:lang w:val="ru-RU"/>
        </w:rPr>
        <w:t>(или) в Перечне лжепредприятий.</w:t>
      </w:r>
    </w:p>
    <w:p w:rsidR="00894CEB" w:rsidRPr="000F4563" w:rsidRDefault="00090719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>Указанные основания для отклонения заявок на участие в тендере потенциальных поставщиков являются исчерпывающими.</w:t>
      </w:r>
    </w:p>
    <w:p w:rsidR="00894CEB" w:rsidRPr="000F4563" w:rsidRDefault="00894CEB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51E0" w:rsidRPr="000F4563" w:rsidRDefault="00FB51E0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Ценовое предложение признаётся демпинговым в следующих случаях:</w:t>
      </w:r>
    </w:p>
    <w:p w:rsidR="00FB51E0" w:rsidRPr="000F4563" w:rsidRDefault="00FB51E0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1) ценовое предложение на строительно-монтажные работы, комплексные работы по которым имеется сметная, предпроектная, проектная (проектно-сметная) документация, утвержденная в установленном порядке, предпроектные, проектные и изыскательские работы, признаётся демпинговым, если оно более чем на 15 (пятнадцать) процентов ниже суммы, предусмотренной для закупки в плане закупок </w:t>
      </w:r>
      <w:r w:rsidR="00090719" w:rsidRPr="000F4563">
        <w:rPr>
          <w:rFonts w:ascii="Times New Roman" w:hAnsi="Times New Roman"/>
          <w:sz w:val="24"/>
          <w:szCs w:val="24"/>
          <w:lang w:val="ru-RU"/>
        </w:rPr>
        <w:t>(</w:t>
      </w:r>
      <w:r w:rsidRPr="000F4563">
        <w:rPr>
          <w:rFonts w:ascii="Times New Roman" w:hAnsi="Times New Roman"/>
          <w:sz w:val="24"/>
          <w:szCs w:val="24"/>
          <w:lang w:val="ru-RU"/>
        </w:rPr>
        <w:t>без учета НДС</w:t>
      </w:r>
      <w:r w:rsidR="00090719" w:rsidRPr="000F4563">
        <w:rPr>
          <w:rFonts w:ascii="Times New Roman" w:hAnsi="Times New Roman"/>
          <w:sz w:val="24"/>
          <w:szCs w:val="24"/>
          <w:lang w:val="ru-RU"/>
        </w:rPr>
        <w:t>)</w:t>
      </w:r>
      <w:r w:rsidRPr="000F4563">
        <w:rPr>
          <w:rFonts w:ascii="Times New Roman" w:hAnsi="Times New Roman"/>
          <w:sz w:val="24"/>
          <w:szCs w:val="24"/>
          <w:lang w:val="ru-RU"/>
        </w:rPr>
        <w:t>;</w:t>
      </w:r>
    </w:p>
    <w:p w:rsidR="00FB1914" w:rsidRPr="000F4563" w:rsidRDefault="00FB51E0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ценовое предложение на консультационные (консалтинговые) услуги признаётся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плане закупок </w:t>
      </w:r>
      <w:r w:rsidR="00090719" w:rsidRPr="000F4563">
        <w:rPr>
          <w:rFonts w:ascii="Times New Roman" w:hAnsi="Times New Roman"/>
          <w:sz w:val="24"/>
          <w:szCs w:val="24"/>
          <w:lang w:val="ru-RU"/>
        </w:rPr>
        <w:t>(</w:t>
      </w:r>
      <w:r w:rsidRPr="000F4563">
        <w:rPr>
          <w:rFonts w:ascii="Times New Roman" w:hAnsi="Times New Roman"/>
          <w:sz w:val="24"/>
          <w:szCs w:val="24"/>
          <w:lang w:val="ru-RU"/>
        </w:rPr>
        <w:t>без учета НДС</w:t>
      </w:r>
      <w:r w:rsidR="00090719" w:rsidRPr="000F4563">
        <w:rPr>
          <w:rFonts w:ascii="Times New Roman" w:hAnsi="Times New Roman"/>
          <w:sz w:val="24"/>
          <w:szCs w:val="24"/>
          <w:lang w:val="ru-RU"/>
        </w:rPr>
        <w:t>)</w:t>
      </w:r>
      <w:r w:rsidRPr="000F4563">
        <w:rPr>
          <w:rFonts w:ascii="Times New Roman" w:hAnsi="Times New Roman"/>
          <w:sz w:val="24"/>
          <w:szCs w:val="24"/>
          <w:lang w:val="ru-RU"/>
        </w:rPr>
        <w:t>;</w:t>
      </w:r>
    </w:p>
    <w:p w:rsidR="00894CEB" w:rsidRPr="000F4563" w:rsidRDefault="00FB51E0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3) ценовое предложение на работы, не указанные в подпункте 1) настоящего пункта, услуги, не указанные в подпункте 2) настоящего пункта, признаётся демпинговым, если оно более чем на 30 (тридцать) процентов ниже среднеарифметической цены всех представленных ценовых предложений, не превышающих сумму, предусмотренную для закупки в плане закупок </w:t>
      </w:r>
      <w:r w:rsidR="00090719" w:rsidRPr="000F4563">
        <w:rPr>
          <w:rFonts w:ascii="Times New Roman" w:hAnsi="Times New Roman"/>
          <w:sz w:val="24"/>
          <w:szCs w:val="24"/>
          <w:lang w:val="ru-RU"/>
        </w:rPr>
        <w:t>(</w:t>
      </w:r>
      <w:r w:rsidRPr="000F4563">
        <w:rPr>
          <w:rFonts w:ascii="Times New Roman" w:hAnsi="Times New Roman"/>
          <w:sz w:val="24"/>
          <w:szCs w:val="24"/>
          <w:lang w:val="ru-RU"/>
        </w:rPr>
        <w:t>без учета НДС</w:t>
      </w:r>
      <w:r w:rsidR="00090719" w:rsidRPr="000F4563">
        <w:rPr>
          <w:rFonts w:ascii="Times New Roman" w:hAnsi="Times New Roman"/>
          <w:sz w:val="24"/>
          <w:szCs w:val="24"/>
          <w:lang w:val="ru-RU"/>
        </w:rPr>
        <w:t>)</w:t>
      </w:r>
      <w:r w:rsidRPr="000F4563">
        <w:rPr>
          <w:rFonts w:ascii="Times New Roman" w:hAnsi="Times New Roman"/>
          <w:sz w:val="24"/>
          <w:szCs w:val="24"/>
          <w:lang w:val="ru-RU"/>
        </w:rPr>
        <w:t>.</w:t>
      </w:r>
    </w:p>
    <w:p w:rsidR="00894CEB" w:rsidRPr="000F4563" w:rsidRDefault="00894CEB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A019E3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Не отклоненные заявки на участие в электронных закупках способом </w:t>
      </w:r>
      <w:r w:rsidR="00997D6D">
        <w:rPr>
          <w:rFonts w:ascii="Times New Roman" w:hAnsi="Times New Roman"/>
          <w:sz w:val="24"/>
          <w:szCs w:val="24"/>
          <w:lang w:val="ru-RU"/>
        </w:rPr>
        <w:t xml:space="preserve">двухэтапного </w:t>
      </w:r>
      <w:r w:rsidRPr="000F4563">
        <w:rPr>
          <w:rFonts w:ascii="Times New Roman" w:hAnsi="Times New Roman"/>
          <w:sz w:val="24"/>
          <w:szCs w:val="24"/>
          <w:lang w:val="ru-RU"/>
        </w:rPr>
        <w:t>открытого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тендера допускаются к</w:t>
      </w:r>
      <w:r w:rsidR="00997D6D">
        <w:rPr>
          <w:rFonts w:ascii="Times New Roman" w:hAnsi="Times New Roman"/>
          <w:sz w:val="24"/>
          <w:szCs w:val="24"/>
          <w:lang w:val="ru-RU"/>
        </w:rPr>
        <w:t>о второму этапу двухэтапного тендера.</w:t>
      </w:r>
    </w:p>
    <w:p w:rsidR="00A019E3" w:rsidRPr="000F4563" w:rsidRDefault="00A019E3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Допуск потенциальных поставщиков к</w:t>
      </w:r>
      <w:r w:rsidR="00997D6D">
        <w:rPr>
          <w:rFonts w:ascii="Times New Roman" w:hAnsi="Times New Roman"/>
          <w:sz w:val="24"/>
          <w:szCs w:val="24"/>
          <w:lang w:val="ru-RU"/>
        </w:rPr>
        <w:t>о второму этапу двухэтапного тендера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оформляется в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Системе в виде протокола.</w:t>
      </w:r>
    </w:p>
    <w:p w:rsidR="006A0431" w:rsidRPr="000F4563" w:rsidRDefault="006A0431" w:rsidP="006A0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Сроки рассмотрения заявок для проведения процедуры допуска к</w:t>
      </w:r>
      <w:r w:rsidR="00997D6D">
        <w:rPr>
          <w:rFonts w:ascii="Times New Roman" w:hAnsi="Times New Roman"/>
          <w:sz w:val="24"/>
          <w:szCs w:val="24"/>
          <w:lang w:val="ru-RU"/>
        </w:rPr>
        <w:t>о второму этапу двухэтапного тендера,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аналогичны срокам рассмотрения заявок, предусмотренным п</w:t>
      </w:r>
      <w:r w:rsidR="00416E52" w:rsidRPr="000F4563">
        <w:rPr>
          <w:rFonts w:ascii="Times New Roman" w:hAnsi="Times New Roman"/>
          <w:sz w:val="24"/>
          <w:szCs w:val="24"/>
          <w:lang w:val="ru-RU"/>
        </w:rPr>
        <w:t>.</w:t>
      </w:r>
      <w:r w:rsidRPr="000F4563">
        <w:rPr>
          <w:rFonts w:ascii="Times New Roman" w:hAnsi="Times New Roman"/>
          <w:sz w:val="24"/>
          <w:szCs w:val="24"/>
          <w:lang w:val="ru-RU"/>
        </w:rPr>
        <w:t>65 Правил закупок Холдинга.</w:t>
      </w:r>
    </w:p>
    <w:p w:rsidR="00894CEB" w:rsidRPr="000F4563" w:rsidRDefault="006A0431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Заказчик/организатор закупок в срок не позднее 3 (трех) рабочих дней со дня утверждения протокола допуска</w:t>
      </w:r>
      <w:r w:rsidR="00997D6D">
        <w:rPr>
          <w:rFonts w:ascii="Times New Roman" w:hAnsi="Times New Roman"/>
          <w:sz w:val="24"/>
          <w:szCs w:val="24"/>
          <w:lang w:val="ru-RU"/>
        </w:rPr>
        <w:t xml:space="preserve"> ко второму этапу двухэтапного тендера,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обязан опубликовать его в Системе.</w:t>
      </w:r>
    </w:p>
    <w:p w:rsidR="00FB51E0" w:rsidRPr="000F4563" w:rsidRDefault="00A019E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После опубликования протокола допуска</w:t>
      </w:r>
      <w:r w:rsidR="00997D6D">
        <w:rPr>
          <w:rFonts w:ascii="Times New Roman" w:hAnsi="Times New Roman"/>
          <w:sz w:val="24"/>
          <w:szCs w:val="24"/>
          <w:lang w:val="ru-RU"/>
        </w:rPr>
        <w:t xml:space="preserve"> ко второму этапу двухэтапного тендера,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Системой незамедлительно в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автоматическом режиме формируется и опубликовывается объявление о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проведении </w:t>
      </w:r>
      <w:r w:rsidR="00997D6D">
        <w:rPr>
          <w:rFonts w:ascii="Times New Roman" w:hAnsi="Times New Roman"/>
          <w:sz w:val="24"/>
          <w:szCs w:val="24"/>
          <w:lang w:val="ru-RU"/>
        </w:rPr>
        <w:t>второго этапа двухэтапного тендера,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FB1914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указанием времени, даты начала и </w:t>
      </w:r>
      <w:r w:rsidR="00FF5C1A" w:rsidRPr="000F4563">
        <w:rPr>
          <w:rFonts w:ascii="Times New Roman" w:hAnsi="Times New Roman"/>
          <w:sz w:val="24"/>
          <w:szCs w:val="24"/>
          <w:lang w:val="ru-RU"/>
        </w:rPr>
        <w:t xml:space="preserve">завершения </w:t>
      </w:r>
      <w:r w:rsidR="009170F2">
        <w:rPr>
          <w:rFonts w:ascii="Times New Roman" w:hAnsi="Times New Roman"/>
          <w:sz w:val="24"/>
          <w:szCs w:val="24"/>
          <w:lang w:val="ru-RU"/>
        </w:rPr>
        <w:t>предоставления ценовых предложений</w:t>
      </w:r>
      <w:r w:rsidR="00997D6D">
        <w:rPr>
          <w:rFonts w:ascii="Times New Roman" w:hAnsi="Times New Roman"/>
          <w:sz w:val="24"/>
          <w:szCs w:val="24"/>
          <w:lang w:val="ru-RU"/>
        </w:rPr>
        <w:t>.</w:t>
      </w:r>
    </w:p>
    <w:p w:rsidR="006A0431" w:rsidRPr="000F4563" w:rsidRDefault="006A0431" w:rsidP="008B193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ab/>
      </w:r>
    </w:p>
    <w:p w:rsidR="00C56625" w:rsidRPr="000F4563" w:rsidRDefault="00C56625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Победитель электронных закупок способом </w:t>
      </w:r>
      <w:r w:rsidR="00634B8C">
        <w:rPr>
          <w:rFonts w:ascii="Times New Roman" w:hAnsi="Times New Roman"/>
          <w:sz w:val="24"/>
          <w:szCs w:val="24"/>
          <w:lang w:val="ru-RU"/>
        </w:rPr>
        <w:t xml:space="preserve">двухэтапного 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открытого тендера определяется на основе наименьшей условной цены, представленной по итогам </w:t>
      </w:r>
      <w:r w:rsidR="00634B8C">
        <w:rPr>
          <w:rFonts w:ascii="Times New Roman" w:hAnsi="Times New Roman"/>
          <w:sz w:val="24"/>
          <w:szCs w:val="24"/>
          <w:lang w:val="ru-RU"/>
        </w:rPr>
        <w:t xml:space="preserve">представления ценовых </w:t>
      </w:r>
      <w:r w:rsidR="00634B8C">
        <w:rPr>
          <w:rFonts w:ascii="Times New Roman" w:hAnsi="Times New Roman"/>
          <w:sz w:val="24"/>
          <w:szCs w:val="24"/>
          <w:lang w:val="ru-RU"/>
        </w:rPr>
        <w:lastRenderedPageBreak/>
        <w:t>предложений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, рассчитываемой с учётом применения критериев, содержащихся в тендерной документации. </w:t>
      </w:r>
    </w:p>
    <w:p w:rsidR="00894CEB" w:rsidRPr="000F4563" w:rsidRDefault="006A0431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Потенциальный поставщик, занявший по итогам оценки и сопоставления второе место, определяется на основе цены, следующей после наименьшей условной цены, рассчитываемой с учётом применения критериев, содержащихся в тендерной документации.</w:t>
      </w:r>
    </w:p>
    <w:p w:rsidR="00894CEB" w:rsidRPr="000F4563" w:rsidRDefault="00894CEB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5C1A" w:rsidRPr="000F4563" w:rsidRDefault="00FF5C1A" w:rsidP="00894CE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Тендер признается тендерной комиссией несостоявшимся в следующих случаях:</w:t>
      </w:r>
    </w:p>
    <w:p w:rsidR="00894CEB" w:rsidRPr="000F4563" w:rsidRDefault="00634B8C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Двухэтапный открытый </w:t>
      </w:r>
      <w:r w:rsidR="00105ED0" w:rsidRPr="000F4563">
        <w:rPr>
          <w:rFonts w:ascii="Times New Roman" w:hAnsi="Times New Roman"/>
          <w:sz w:val="24"/>
          <w:szCs w:val="24"/>
          <w:lang w:val="ru-RU"/>
        </w:rPr>
        <w:t>тендер признаётся тендерной ком</w:t>
      </w:r>
      <w:r w:rsidR="00894CEB" w:rsidRPr="000F4563">
        <w:rPr>
          <w:rFonts w:ascii="Times New Roman" w:hAnsi="Times New Roman"/>
          <w:sz w:val="24"/>
          <w:szCs w:val="24"/>
          <w:lang w:val="ru-RU"/>
        </w:rPr>
        <w:t>иссией несостоявшимся в случае:</w:t>
      </w:r>
    </w:p>
    <w:p w:rsidR="00105ED0" w:rsidRPr="000F4563" w:rsidRDefault="00105ED0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1) представления заявок на участие в тендере менее двух потенциальных поставщиков;</w:t>
      </w:r>
    </w:p>
    <w:p w:rsidR="00105ED0" w:rsidRPr="000F4563" w:rsidRDefault="00105ED0" w:rsidP="0010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2) если после отклонения тендерной комиссией по основаниям, предусмотренным пунктом 68 Правил, осталось менее двух заявок на участие в тендере потенциальных поставщиков;</w:t>
      </w:r>
    </w:p>
    <w:p w:rsidR="00105ED0" w:rsidRPr="000F4563" w:rsidRDefault="00105ED0" w:rsidP="0010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3) уклонения победителя и потенциального поставщика, занявшего второе место, от заключения договора;</w:t>
      </w:r>
    </w:p>
    <w:p w:rsidR="00105ED0" w:rsidRPr="000F4563" w:rsidRDefault="00105ED0" w:rsidP="0010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4) непредставления победителем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77, 79, 87 Правил.</w:t>
      </w:r>
    </w:p>
    <w:p w:rsidR="00105ED0" w:rsidRPr="000F4563" w:rsidRDefault="00105ED0" w:rsidP="00105E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Default="004C7403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="00EE407F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Сопоставление документов, представленных потенциальными поставщиками в составе заявки на участие в тенд</w:t>
      </w:r>
      <w:r w:rsidR="00894CEB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ере, на предмет их соответствия</w:t>
      </w:r>
    </w:p>
    <w:p w:rsidR="00F92C84" w:rsidRPr="000F4563" w:rsidRDefault="00F92C84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94CEB" w:rsidRPr="000F4563" w:rsidRDefault="00EE407F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 </w:t>
      </w:r>
    </w:p>
    <w:p w:rsidR="00894CEB" w:rsidRPr="000F4563" w:rsidRDefault="00EE407F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настоящей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</w:t>
      </w:r>
    </w:p>
    <w:p w:rsidR="00894CEB" w:rsidRPr="000F4563" w:rsidRDefault="00EE407F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Потенциальный поставщик в течение 3</w:t>
      </w:r>
      <w:r w:rsidR="00CE76F0" w:rsidRPr="000F4563">
        <w:rPr>
          <w:rFonts w:ascii="Times New Roman" w:hAnsi="Times New Roman"/>
          <w:sz w:val="24"/>
          <w:szCs w:val="24"/>
          <w:lang w:val="ru-RU"/>
        </w:rPr>
        <w:t xml:space="preserve"> (трех)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рабочих дней со дня окончания срока, указанного в пункте 68 настоящей Инструкции, устраняет выявленные несоответствия.</w:t>
      </w:r>
      <w:r w:rsidR="00AF36B8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4CEB" w:rsidRPr="000F4563" w:rsidRDefault="004533FF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 течение 1</w:t>
      </w:r>
      <w:r w:rsidR="00CE76F0" w:rsidRPr="000F4563">
        <w:rPr>
          <w:rFonts w:ascii="Times New Roman" w:hAnsi="Times New Roman"/>
          <w:sz w:val="24"/>
          <w:szCs w:val="24"/>
          <w:lang w:val="ru-RU"/>
        </w:rPr>
        <w:t xml:space="preserve"> (одного)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70 Инструкции. </w:t>
      </w:r>
    </w:p>
    <w:p w:rsidR="004533FF" w:rsidRPr="000F4563" w:rsidRDefault="004533FF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Если по результатам проверки документов несоответствия не выявлены, то процедуры предусмотренные пунктом 70 Инструкции проводятся в течение 3 рабочих дней со дня истечения срока указанного в пункте 68 настоящей Инструкции.</w:t>
      </w:r>
    </w:p>
    <w:p w:rsidR="00CE76F0" w:rsidRPr="000F4563" w:rsidRDefault="00CE76F0" w:rsidP="00CE7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Итоги процедуры сопоставления, в том числе случаи, когда победителем не исполнены требования пункта 76 Правил закупок Холдинга оформляются протоколом, который подписывается и полистно визируется составом тендерной комиссии и её секретарём.</w:t>
      </w:r>
    </w:p>
    <w:p w:rsidR="00894CEB" w:rsidRPr="000F4563" w:rsidRDefault="00CE76F0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:rsidR="00894CEB" w:rsidRPr="000F4563" w:rsidRDefault="00894CEB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533FF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В случае, если победитель тендера не предоставил Заказчику документы предусмотренные пунктом 76 Правил закупок Холдинга, а также в случае выявления несоответствия </w:t>
      </w:r>
      <w:r w:rsidRPr="000F4563">
        <w:rPr>
          <w:rFonts w:ascii="Times New Roman" w:hAnsi="Times New Roman"/>
          <w:sz w:val="24"/>
          <w:szCs w:val="24"/>
          <w:lang w:val="ru-RU"/>
        </w:rPr>
        <w:lastRenderedPageBreak/>
        <w:t xml:space="preserve">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:rsidR="004533FF" w:rsidRPr="000F4563" w:rsidRDefault="004533FF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1)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 </w:t>
      </w:r>
    </w:p>
    <w:p w:rsidR="004533FF" w:rsidRPr="000F4563" w:rsidRDefault="004533FF" w:rsidP="00AF36B8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 </w:t>
      </w:r>
    </w:p>
    <w:p w:rsidR="00894CEB" w:rsidRPr="000F4563" w:rsidRDefault="008558D8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SUB8900"/>
      <w:bookmarkEnd w:id="1"/>
      <w:r w:rsidRPr="000F4563">
        <w:rPr>
          <w:rFonts w:ascii="Times New Roman" w:hAnsi="Times New Roman"/>
          <w:sz w:val="24"/>
          <w:szCs w:val="24"/>
          <w:lang w:val="ru-RU"/>
        </w:rPr>
        <w:t>Положения вышеуказанного пункта (п.73 Инструкции) не применяются, если Заказчиком не были приняты меры, предусмотренные п.69 Инструкции и не сообщено потенциальному поставщику о выявленных несоответствиях документов,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(поставщиков) Холдинга.</w:t>
      </w:r>
    </w:p>
    <w:p w:rsidR="00894CEB" w:rsidRPr="000F4563" w:rsidRDefault="00894CEB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533FF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Решение тендерной комиссии об определении победителем тендера потенциального поставщика, занявшего по итогам оценки и сопоставления второе место, оформляется протоколом об определении победителем тендера потенциального поставщика, занявшего по итогам оценки и сопоставления второе место, который должен содержать сумму и сроки заключения договора о закупках. </w:t>
      </w:r>
    </w:p>
    <w:p w:rsidR="004533FF" w:rsidRPr="000F4563" w:rsidRDefault="004533FF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Заказчик не позднее 3 (трех) рабочих дней со дня подписания протокола: </w:t>
      </w:r>
    </w:p>
    <w:p w:rsidR="004533FF" w:rsidRPr="000F4563" w:rsidRDefault="004533FF" w:rsidP="00AF36B8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1) направляет победителю уведомление; </w:t>
      </w:r>
    </w:p>
    <w:p w:rsidR="00FB51E0" w:rsidRPr="000F4563" w:rsidRDefault="004533FF" w:rsidP="00AF36B8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2) размещает протокол об определении победителем тендера потенциального поставщика, занявшего по итогам оценки и сопоставления второе место в Системе, на веб-сайте Заказчика и организатора закупок и на веб-сайте, определенном Фондом. </w:t>
      </w:r>
    </w:p>
    <w:p w:rsidR="00AF36B8" w:rsidRPr="000F4563" w:rsidRDefault="00AF36B8" w:rsidP="00AF36B8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948" w:rsidRPr="000F4563" w:rsidRDefault="004C7403" w:rsidP="0099194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r w:rsidR="00991948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Порядок и сроки внесения изменений и дополнений в тендерную</w:t>
      </w:r>
    </w:p>
    <w:p w:rsidR="00894CEB" w:rsidRPr="000F4563" w:rsidRDefault="00894CEB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Документацию</w:t>
      </w:r>
    </w:p>
    <w:p w:rsidR="00894CEB" w:rsidRPr="000F4563" w:rsidRDefault="00894CEB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B5589" w:rsidRPr="000F4563" w:rsidRDefault="00991948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Изменения и дополнения в Тендерную документацию вносятся Заказчиком в установленном порядке до истечения даты вскрытия заявок потенциальных поставщиков. При этом</w:t>
      </w:r>
      <w:r w:rsidR="00634B8C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п.44 Правил закупок, на веб-сайте Заказчика должен быть размещен проект тендерной документации, для предварительного обсуждения проекта тендерной документации</w:t>
      </w:r>
      <w:r w:rsidRPr="000F4563">
        <w:rPr>
          <w:rFonts w:ascii="Times New Roman" w:hAnsi="Times New Roman"/>
          <w:sz w:val="24"/>
          <w:szCs w:val="24"/>
          <w:lang w:val="ru-RU"/>
        </w:rPr>
        <w:t>. Об изменениях и дополнениях Тендерной документации и изменённом сроке представления заявок на участие в тендере потенциальные поставщики могут быть уведомлены посредством объявления о проведении закупок, размещенного в Системе.</w:t>
      </w:r>
      <w:r w:rsidR="00634B8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32EB" w:rsidRDefault="005732EB" w:rsidP="0089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94CEB" w:rsidRDefault="004C7403" w:rsidP="0089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9. </w:t>
      </w:r>
      <w:r w:rsidR="008558D8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Изменение заявок потенциальных поставщиков и их отз</w:t>
      </w:r>
      <w:r w:rsidR="00894CEB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ыв</w:t>
      </w:r>
    </w:p>
    <w:p w:rsidR="00F92C84" w:rsidRPr="000F4563" w:rsidRDefault="00F92C84" w:rsidP="0089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B5589" w:rsidRPr="000F4563" w:rsidRDefault="00DB5589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Потенциальный поставщик не позднее окончания срока представления заявок на участие в открытом тендере вправе:</w:t>
      </w:r>
    </w:p>
    <w:p w:rsidR="00DB5589" w:rsidRPr="000F4563" w:rsidRDefault="00DB5589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1) изменить и (или) дополнить внесенную заявку на участие в открытом</w:t>
      </w:r>
      <w:r w:rsidR="008558D8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тендере;</w:t>
      </w:r>
    </w:p>
    <w:p w:rsidR="00DB5589" w:rsidRPr="000F4563" w:rsidRDefault="00DB5589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2) отозвать свою заявку на участие в открытом тендере, не утрачивая права на возврат внесенного им обеспечения заявки на участие в открытом тендере</w:t>
      </w:r>
      <w:r w:rsidR="007410BB" w:rsidRPr="000F4563">
        <w:rPr>
          <w:rFonts w:ascii="Times New Roman" w:hAnsi="Times New Roman"/>
          <w:sz w:val="24"/>
          <w:szCs w:val="24"/>
          <w:lang w:val="ru-RU"/>
        </w:rPr>
        <w:t>.</w:t>
      </w:r>
    </w:p>
    <w:p w:rsidR="00777089" w:rsidRPr="000F4563" w:rsidRDefault="00777089" w:rsidP="00B45E3D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58D8" w:rsidRDefault="004C7403" w:rsidP="0085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10. </w:t>
      </w:r>
      <w:r w:rsidR="008558D8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Условия </w:t>
      </w:r>
      <w:r w:rsidR="007410BB" w:rsidRPr="000F456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оплаты</w:t>
      </w:r>
    </w:p>
    <w:p w:rsidR="00F92C84" w:rsidRPr="000F4563" w:rsidRDefault="00F92C84" w:rsidP="0085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Расчет по договору осуществляется в следующем порядке: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Заказчик производит оплату по факту выполненных работ/оказанных услуг в течение 30 (тридцати) рабочих дней со дня представления счета на оплату на основании акта выполненных работ/оказанных услуг и акта приемочной комиссии о приемке работ/услуг в полном объеме подписанного уполномоченными представителями Сторон, подтверждающий выполнение надлежащим образом обязательств по договору путем перечисления денег на расчетный счет поставщика, указанный в договоре.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u w:val="single"/>
          <w:lang w:val="ru-RU"/>
        </w:rPr>
        <w:t>Необходимые документы, предшествующие оплате:</w:t>
      </w:r>
    </w:p>
    <w:p w:rsidR="00F92C84" w:rsidRPr="000F4563" w:rsidRDefault="00F92C84" w:rsidP="00F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- счет на оплату; </w:t>
      </w:r>
    </w:p>
    <w:p w:rsidR="00F92C84" w:rsidRPr="000F4563" w:rsidRDefault="00F92C84" w:rsidP="00F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- счет-фактура; 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- акт выполненных работ/оказанных услуг; 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- отчетность по доле местного содержания (</w:t>
      </w:r>
      <w:r w:rsidRPr="000F4563">
        <w:rPr>
          <w:rFonts w:ascii="Times New Roman" w:hAnsi="Times New Roman"/>
          <w:i/>
          <w:sz w:val="24"/>
          <w:szCs w:val="24"/>
          <w:lang w:val="ru-RU"/>
        </w:rPr>
        <w:t>рассчитанная в соответствии с требованиями Единой методики расчета организациями местного содержания и в соответствии с формой приложения к проекту договора</w:t>
      </w:r>
      <w:r w:rsidRPr="000F4563">
        <w:rPr>
          <w:rFonts w:ascii="Times New Roman" w:hAnsi="Times New Roman"/>
          <w:sz w:val="24"/>
          <w:szCs w:val="24"/>
          <w:lang w:val="ru-RU"/>
        </w:rPr>
        <w:t>).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В случае задержки предоставления исполнителем одного из вышеуказанных документов, оплата переносится на срок, равный произведенной задержке. 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C7403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11. </w:t>
      </w:r>
      <w:r w:rsidR="008558D8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Условия внесения </w:t>
      </w:r>
      <w:r w:rsidR="00894CEB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>обеспечения исполнения договора</w:t>
      </w:r>
    </w:p>
    <w:p w:rsidR="00894CEB" w:rsidRPr="000F4563" w:rsidRDefault="00894CEB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92C84" w:rsidRPr="000F4563" w:rsidRDefault="008558D8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Тендерной документацией не предусмотрено внесение обеспечения исполнения</w:t>
      </w:r>
      <w:r w:rsidR="00844976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563">
        <w:rPr>
          <w:rFonts w:ascii="Times New Roman" w:hAnsi="Times New Roman"/>
          <w:sz w:val="24"/>
          <w:szCs w:val="24"/>
          <w:lang w:val="ru-RU"/>
        </w:rPr>
        <w:t>договора о закупках.</w:t>
      </w:r>
    </w:p>
    <w:p w:rsidR="008558D8" w:rsidRPr="000F4563" w:rsidRDefault="008558D8" w:rsidP="0085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C7403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12. </w:t>
      </w:r>
      <w:r w:rsidR="00777089" w:rsidRPr="000F456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Порядок заключения договора о закупках </w:t>
      </w:r>
    </w:p>
    <w:p w:rsidR="00894CEB" w:rsidRPr="000F4563" w:rsidRDefault="00894CEB" w:rsidP="00894CE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B428B8" w:rsidRPr="000F4563" w:rsidRDefault="004C7403" w:rsidP="00894CEB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12.1. </w:t>
      </w:r>
      <w:r w:rsidR="00777089" w:rsidRPr="000F4563">
        <w:rPr>
          <w:rFonts w:ascii="Times New Roman" w:hAnsi="Times New Roman"/>
          <w:sz w:val="24"/>
          <w:szCs w:val="24"/>
          <w:lang w:val="ru-RU"/>
        </w:rPr>
        <w:t xml:space="preserve">Договор о закупках заключается в соответствии с содержащимся в тендерной документации проектом договора о закупках. </w:t>
      </w:r>
    </w:p>
    <w:p w:rsidR="00B428B8" w:rsidRPr="000F4563" w:rsidRDefault="00B428B8" w:rsidP="00B4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Не допускается вносить в проект либо заключенный договор о закупках из одного источника изменения по основаниям, не предусмотренным пунктами 131-133 Правил закупок.</w:t>
      </w:r>
    </w:p>
    <w:p w:rsidR="00B428B8" w:rsidRPr="000F4563" w:rsidRDefault="00B428B8" w:rsidP="00B4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4C7403" w:rsidRPr="000F4563" w:rsidRDefault="00B428B8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</w:t>
      </w:r>
      <w:r w:rsidR="00894CEB" w:rsidRPr="000F4563">
        <w:rPr>
          <w:rFonts w:ascii="Times New Roman" w:hAnsi="Times New Roman"/>
          <w:sz w:val="24"/>
          <w:szCs w:val="24"/>
          <w:lang w:val="ru-RU"/>
        </w:rPr>
        <w:t>проведению электронных закупок.</w:t>
      </w:r>
      <w:r w:rsidR="004C7403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7403" w:rsidRPr="000F4563" w:rsidRDefault="004C740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C740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12.2. </w:t>
      </w:r>
      <w:r w:rsidR="00777089" w:rsidRPr="000F4563">
        <w:rPr>
          <w:rFonts w:ascii="Times New Roman" w:hAnsi="Times New Roman"/>
          <w:sz w:val="24"/>
          <w:szCs w:val="24"/>
          <w:lang w:val="ru-RU"/>
        </w:rPr>
        <w:t>Договор о закупках должен содержать цену, предложенную победителем тендера или закупки способом запроса ценовых предложений, с начислением к ней НДС, за исключением случаев, когда победитель тендера или закупки способом запроса ценовых предложений не является плательщиком НДС или поставляемый товар, выполняемая работа, оказываемая услуга не облагается НДС в соответствии с законодательством Республики Казахстан.</w:t>
      </w:r>
    </w:p>
    <w:p w:rsidR="00894CEB" w:rsidRPr="000F4563" w:rsidRDefault="00894CEB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C740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12.3. </w:t>
      </w:r>
      <w:r w:rsidR="00777089" w:rsidRPr="000F4563">
        <w:rPr>
          <w:rFonts w:ascii="Times New Roman" w:hAnsi="Times New Roman"/>
          <w:sz w:val="24"/>
          <w:szCs w:val="24"/>
          <w:lang w:val="ru-RU"/>
        </w:rPr>
        <w:t>Заказчик не менее чем за 10 (десять) календарных дней до окончательного срока подписания договора</w:t>
      </w:r>
      <w:r w:rsidR="00AF36B8" w:rsidRPr="000F4563">
        <w:rPr>
          <w:rFonts w:ascii="Times New Roman" w:hAnsi="Times New Roman"/>
          <w:sz w:val="24"/>
          <w:szCs w:val="24"/>
          <w:lang w:val="ru-RU"/>
        </w:rPr>
        <w:t>,</w:t>
      </w:r>
      <w:r w:rsidR="00777089" w:rsidRPr="000F4563">
        <w:rPr>
          <w:rFonts w:ascii="Times New Roman" w:hAnsi="Times New Roman"/>
          <w:sz w:val="24"/>
          <w:szCs w:val="24"/>
          <w:lang w:val="ru-RU"/>
        </w:rPr>
        <w:t xml:space="preserve"> согласно протокола об итогах закупок направляет победителю тендера подписанный со стороны Заказчика проект договора о закупках. Победитель тендера</w:t>
      </w:r>
      <w:r w:rsidR="00AF36B8" w:rsidRPr="000F4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089" w:rsidRPr="000F4563">
        <w:rPr>
          <w:rFonts w:ascii="Times New Roman" w:hAnsi="Times New Roman"/>
          <w:sz w:val="24"/>
          <w:szCs w:val="24"/>
          <w:lang w:val="ru-RU"/>
        </w:rPr>
        <w:t xml:space="preserve">должен подписать проект договора о закупках в течение 5 (пяти) календарных дней с даты получения </w:t>
      </w:r>
      <w:r w:rsidR="00777089" w:rsidRPr="000F4563">
        <w:rPr>
          <w:rFonts w:ascii="Times New Roman" w:hAnsi="Times New Roman"/>
          <w:sz w:val="24"/>
          <w:szCs w:val="24"/>
          <w:lang w:val="ru-RU"/>
        </w:rPr>
        <w:lastRenderedPageBreak/>
        <w:t>проекта договора о закупках, подписанного со стороны Заказчика. Договор о закупках способом тендера заключается в сроки, указанные в протоколе об итогах закупок, но не ранее чем через 10 (десять) календарных дней с даты подписания протокола об итогах и не более 25 (двадцати пяти) календарных дней с даты подписания протокола об итогах.</w:t>
      </w:r>
    </w:p>
    <w:p w:rsidR="00894CEB" w:rsidRPr="000F4563" w:rsidRDefault="00777089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 случае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:rsidR="004C7403" w:rsidRPr="000F4563" w:rsidRDefault="004C740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4CEB" w:rsidRPr="000F4563" w:rsidRDefault="004C740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12.4. </w:t>
      </w:r>
      <w:r w:rsidR="008B21CB" w:rsidRPr="000F4563">
        <w:rPr>
          <w:rFonts w:ascii="Times New Roman" w:hAnsi="Times New Roman"/>
          <w:sz w:val="24"/>
          <w:szCs w:val="24"/>
          <w:lang w:val="ru-RU"/>
        </w:rPr>
        <w:t>В случае если потенциальный поставщик, за исключением потенциального поставщика, занявшего по итогам оценки и сопоставления второе место, в сроки, установленные в протоколе об итогах тендера, не представил Заказчику подписанный договор о закупках или, заключив договор,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8B21CB" w:rsidRPr="000F4563" w:rsidRDefault="008B21CB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 случае признания потенциального поставщика, за исключением потенциального поставщика, занявшего по итогам оценки и сопоставления второе место,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поставщике в Перечень ненадёжных потенциальных поставщиков (поставщиков) Холдинга.</w:t>
      </w:r>
    </w:p>
    <w:p w:rsidR="0030001E" w:rsidRPr="000F4563" w:rsidRDefault="0030001E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Потенциальный поставщик не признается уклонившимся от заключения договора о закупках в случаях отказа потенциального поставщика  от:</w:t>
      </w:r>
    </w:p>
    <w:p w:rsidR="0030001E" w:rsidRPr="000F4563" w:rsidRDefault="0030001E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:rsidR="0030001E" w:rsidRPr="000F4563" w:rsidRDefault="0030001E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</w:t>
      </w:r>
    </w:p>
    <w:p w:rsidR="00F92C84" w:rsidRDefault="00F92C84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001E" w:rsidRPr="000F4563" w:rsidRDefault="004C7403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12.5. </w:t>
      </w:r>
      <w:r w:rsidR="0030001E" w:rsidRPr="000F4563">
        <w:rPr>
          <w:rFonts w:ascii="Times New Roman" w:hAnsi="Times New Roman"/>
          <w:sz w:val="24"/>
          <w:szCs w:val="24"/>
          <w:lang w:val="ru-RU"/>
        </w:rPr>
        <w:t>В случае, если победитель тендера в сроки, установленные протоколом об итогах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подписания договора о закупках или со дня письменного отказа от подписания договора о закупках победителем,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:rsidR="0030001E" w:rsidRPr="000F4563" w:rsidRDefault="0030001E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Уведомление о подписании договора о закупках поставщику, занявшему по итогам оценки и сопоставления второе место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30001E" w:rsidRPr="000F4563" w:rsidRDefault="0030001E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ab/>
      </w:r>
    </w:p>
    <w:p w:rsidR="00894CEB" w:rsidRPr="000F4563" w:rsidRDefault="004C7403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lastRenderedPageBreak/>
        <w:t xml:space="preserve">12.6. </w:t>
      </w:r>
      <w:r w:rsidR="0030001E" w:rsidRPr="000F4563">
        <w:rPr>
          <w:rFonts w:ascii="Times New Roman" w:hAnsi="Times New Roman"/>
          <w:sz w:val="24"/>
          <w:szCs w:val="24"/>
          <w:lang w:val="ru-RU"/>
        </w:rPr>
        <w:t>Если на этапе исполнения договора, договор о закупках был расторгнут по вине поставщика, Заказчик должен направить потенциальному поставщику, занявшему по итогам оценки и сопоставления второе место уведомление о намерении заключения с ним договора о закупках, по цене, не превышающей предложенную им цену в заявке на участие в тендере, с учетом стоимости обязательств исполненных постав</w:t>
      </w:r>
      <w:r w:rsidR="00894CEB" w:rsidRPr="000F4563">
        <w:rPr>
          <w:rFonts w:ascii="Times New Roman" w:hAnsi="Times New Roman"/>
          <w:sz w:val="24"/>
          <w:szCs w:val="24"/>
          <w:lang w:val="ru-RU"/>
        </w:rPr>
        <w:t xml:space="preserve">щиком и оплаченных Заказчиком. </w:t>
      </w:r>
      <w:r w:rsidR="00D6595D" w:rsidRPr="000F4563">
        <w:rPr>
          <w:rFonts w:ascii="Times New Roman" w:hAnsi="Times New Roman"/>
          <w:bCs/>
          <w:sz w:val="24"/>
          <w:szCs w:val="24"/>
          <w:lang w:val="ru-RU"/>
        </w:rPr>
        <w:t xml:space="preserve">В случае применения пункта 84 Правил срок продлевается на количество дней, исчисляемые </w:t>
      </w:r>
      <w:r w:rsidR="00D6595D" w:rsidRPr="000F4563">
        <w:rPr>
          <w:rFonts w:ascii="Times New Roman" w:hAnsi="Times New Roman"/>
          <w:sz w:val="24"/>
          <w:szCs w:val="24"/>
          <w:lang w:val="ru-RU"/>
        </w:rPr>
        <w:t>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 В случае применения пункта 85 Правил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D6595D" w:rsidRDefault="00D6595D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F4563">
        <w:rPr>
          <w:rFonts w:ascii="Times New Roman" w:hAnsi="Times New Roman"/>
          <w:sz w:val="24"/>
          <w:lang w:val="ru-RU"/>
        </w:rPr>
        <w:t>В случае применения пунктов 91, 117  Правил в проект договора о закупках вносится изменение и/или дополнение в части продления срока выполнения обязательств по поставке товаров, оказанию услуг, выполнению работ на количество дней, использованных для отмены и пересмотра итогов закупок и заключения договора.</w:t>
      </w:r>
    </w:p>
    <w:p w:rsidR="009C1F2C" w:rsidRDefault="009C1F2C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C1F2C" w:rsidRDefault="009C1F2C" w:rsidP="0089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C1F2C" w:rsidRDefault="009C1F2C" w:rsidP="009C1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lang w:val="ru-RU"/>
        </w:rPr>
      </w:pPr>
      <w:r w:rsidRPr="009C1F2C">
        <w:rPr>
          <w:rFonts w:ascii="Times New Roman" w:hAnsi="Times New Roman"/>
          <w:b/>
          <w:sz w:val="24"/>
          <w:lang w:val="ru-RU"/>
        </w:rPr>
        <w:t xml:space="preserve">Приложение №1 </w:t>
      </w:r>
    </w:p>
    <w:p w:rsidR="009C1F2C" w:rsidRPr="009C1F2C" w:rsidRDefault="009C1F2C" w:rsidP="009C1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9C1F2C">
        <w:rPr>
          <w:rFonts w:ascii="Times New Roman" w:hAnsi="Times New Roman"/>
          <w:b/>
          <w:sz w:val="24"/>
          <w:lang w:val="ru-RU"/>
        </w:rPr>
        <w:t xml:space="preserve">– Техническое задание. </w:t>
      </w:r>
    </w:p>
    <w:p w:rsidR="00850168" w:rsidRPr="009C1F2C" w:rsidRDefault="00850168" w:rsidP="009C1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850168" w:rsidRPr="000F4563" w:rsidRDefault="00850168" w:rsidP="00D6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ab/>
      </w:r>
    </w:p>
    <w:p w:rsidR="0030001E" w:rsidRPr="000F4563" w:rsidRDefault="0030001E" w:rsidP="0030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28B8" w:rsidRPr="000F4563" w:rsidRDefault="00B428B8" w:rsidP="00785139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B21CB" w:rsidRPr="000F4563" w:rsidRDefault="008B21CB" w:rsidP="00AF36B8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5732EB" w:rsidRPr="005732EB" w:rsidRDefault="005732EB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C1F2C" w:rsidRDefault="009C1F2C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9170F2" w:rsidRPr="009170F2" w:rsidRDefault="009170F2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  <w:r w:rsidRPr="000F4563">
        <w:rPr>
          <w:rFonts w:ascii="Times New Roman" w:hAnsi="Times New Roman"/>
          <w:b/>
          <w:lang w:val="ru-RU"/>
        </w:rPr>
        <w:lastRenderedPageBreak/>
        <w:t>Приложение №</w:t>
      </w:r>
      <w:r w:rsidR="007247F0" w:rsidRPr="000F4563">
        <w:rPr>
          <w:rFonts w:ascii="Times New Roman" w:hAnsi="Times New Roman"/>
          <w:b/>
          <w:lang w:val="ru-RU"/>
        </w:rPr>
        <w:t>2</w:t>
      </w:r>
      <w:r w:rsidRPr="000F4563">
        <w:rPr>
          <w:rFonts w:ascii="Times New Roman" w:hAnsi="Times New Roman"/>
          <w:b/>
          <w:lang w:val="ru-RU"/>
        </w:rPr>
        <w:t xml:space="preserve"> 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val="ru-RU"/>
        </w:rPr>
      </w:pPr>
      <w:r w:rsidRPr="000F4563">
        <w:rPr>
          <w:rFonts w:ascii="Times New Roman" w:hAnsi="Times New Roman"/>
          <w:b/>
          <w:lang w:val="ru-RU"/>
        </w:rPr>
        <w:t>к тендерной документации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F4563">
        <w:rPr>
          <w:rFonts w:ascii="Times New Roman" w:hAnsi="Times New Roman"/>
          <w:b/>
          <w:lang w:val="ru-RU"/>
        </w:rPr>
        <w:t>Банковская гарантия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Наименование банка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i/>
          <w:szCs w:val="24"/>
          <w:lang w:val="ru-RU"/>
        </w:rPr>
        <w:t xml:space="preserve">                         (наименование и реквизиты банка)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Кому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____________________________________________________________________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i/>
          <w:szCs w:val="24"/>
          <w:lang w:val="ru-RU"/>
        </w:rPr>
        <w:t xml:space="preserve">       (наименование и реквизиты организатора закупок)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Гарантийное обязательство №_______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_________________________________________ «___»____________________г.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i/>
          <w:szCs w:val="24"/>
          <w:lang w:val="ru-RU"/>
        </w:rPr>
        <w:t xml:space="preserve">                    (местонахождение)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Мы были проинформированы, что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____________________________________________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i/>
          <w:szCs w:val="24"/>
          <w:lang w:val="ru-RU"/>
        </w:rPr>
        <w:t>(наименование потенциального поставщика)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в дальнейшем «Поставщик», принимает участие в тендере по закупке____________________________, организованном ___________________________________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</w:t>
      </w:r>
      <w:r w:rsidRPr="000F4563">
        <w:rPr>
          <w:rFonts w:ascii="Times New Roman" w:hAnsi="Times New Roman"/>
          <w:i/>
          <w:szCs w:val="24"/>
          <w:lang w:val="ru-RU"/>
        </w:rPr>
        <w:t>(наименование организатора закупок)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и готов осуществить поставку (выполнить работу, оказать услугу) ___________________________________ на общую сумму ____________________ тенге.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i/>
          <w:szCs w:val="24"/>
          <w:lang w:val="ru-RU"/>
        </w:rPr>
        <w:t xml:space="preserve">       (наименование и объем услуг)                                                (прописью)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 xml:space="preserve">В связи с этим мы ___________________________ настоящим берем на себя безотзывное   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 xml:space="preserve">                                      </w:t>
      </w:r>
      <w:r w:rsidRPr="000F4563">
        <w:rPr>
          <w:rFonts w:ascii="Times New Roman" w:hAnsi="Times New Roman"/>
          <w:i/>
          <w:szCs w:val="24"/>
          <w:lang w:val="ru-RU"/>
        </w:rPr>
        <w:t>(наименование банка)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 xml:space="preserve">обязательство выплатить Вам по Вашему требованию сумму, равную _________________________ по 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</w:r>
      <w:r w:rsidRPr="000F4563">
        <w:rPr>
          <w:rFonts w:ascii="Times New Roman" w:hAnsi="Times New Roman"/>
          <w:i/>
          <w:szCs w:val="24"/>
          <w:lang w:val="ru-RU"/>
        </w:rPr>
        <w:tab/>
        <w:t>(сумма в цифрах и прописью)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получении Вашего письменного требования на оплату, а также письменного подтверждения того, что Поставщик: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отозвал или изменил тендерную заявку после истечения окончательного срока представления тендерных заявок; не подписал, в установленные сроки, договор о закупках; 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документации.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Данное гарантийное обязательство вступает в силу со дня вскрытия конвертов с тендерными заявками.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szCs w:val="24"/>
          <w:lang w:val="ru-RU"/>
        </w:rPr>
        <w:t>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 продлен, то данное гарантийное обязательство продлевается на такой же срок.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0F4563">
        <w:rPr>
          <w:rFonts w:ascii="Times New Roman" w:hAnsi="Times New Roman"/>
          <w:b/>
          <w:szCs w:val="24"/>
          <w:lang w:val="ru-RU"/>
        </w:rPr>
        <w:t>Подпись и печать гаранта                                                                                Дата и адрес</w:t>
      </w: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850168" w:rsidRPr="000F4563" w:rsidRDefault="00850168" w:rsidP="0085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F4563">
        <w:rPr>
          <w:rFonts w:ascii="Times New Roman" w:hAnsi="Times New Roman"/>
          <w:b/>
          <w:bCs/>
          <w:szCs w:val="24"/>
          <w:lang w:val="ru-RU"/>
        </w:rPr>
        <w:t>Перечень прилагаемых документов:</w:t>
      </w:r>
    </w:p>
    <w:p w:rsidR="00850168" w:rsidRPr="000F4563" w:rsidRDefault="00850168" w:rsidP="00850168">
      <w:pPr>
        <w:jc w:val="both"/>
        <w:rPr>
          <w:rFonts w:ascii="Times New Roman" w:hAnsi="Times New Roman"/>
          <w:szCs w:val="24"/>
          <w:lang w:val="ru-RU"/>
        </w:rPr>
      </w:pPr>
      <w:r w:rsidRPr="000F4563">
        <w:rPr>
          <w:rFonts w:ascii="Times New Roman" w:hAnsi="Times New Roman"/>
          <w:b/>
          <w:bCs/>
          <w:szCs w:val="24"/>
          <w:lang w:val="ru-RU"/>
        </w:rPr>
        <w:t>№ Наименование Тип документа</w:t>
      </w:r>
      <w:r w:rsidRPr="000F4563">
        <w:rPr>
          <w:rFonts w:ascii="Times New Roman" w:hAnsi="Times New Roman"/>
          <w:szCs w:val="24"/>
          <w:lang w:val="ru-RU"/>
        </w:rPr>
        <w:t>__</w:t>
      </w:r>
    </w:p>
    <w:p w:rsidR="00850168" w:rsidRPr="000F4563" w:rsidRDefault="00850168" w:rsidP="00850168">
      <w:pPr>
        <w:pStyle w:val="a5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7247F0" w:rsidRPr="000F4563">
        <w:rPr>
          <w:rFonts w:ascii="Times New Roman" w:hAnsi="Times New Roman"/>
          <w:b/>
          <w:sz w:val="24"/>
          <w:szCs w:val="24"/>
          <w:lang w:val="ru-RU"/>
        </w:rPr>
        <w:t>3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850168" w:rsidRPr="000F4563" w:rsidRDefault="00850168" w:rsidP="00850168">
      <w:pPr>
        <w:pStyle w:val="a5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к тендерной документации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Банковская гарантия</w:t>
      </w:r>
    </w:p>
    <w:p w:rsidR="00850168" w:rsidRPr="000F4563" w:rsidRDefault="00850168" w:rsidP="00850168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(форма обеспечения возврата аванса (предоплаты)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Наименование банка: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_______________________________________</w:t>
      </w:r>
    </w:p>
    <w:p w:rsidR="00850168" w:rsidRPr="000F4563" w:rsidRDefault="00850168" w:rsidP="00850168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  <w:t>(наименование и реквизиты банка)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>Кому:</w:t>
      </w:r>
      <w:r w:rsidRPr="000F4563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</w:t>
      </w:r>
    </w:p>
    <w:p w:rsidR="00850168" w:rsidRPr="000F4563" w:rsidRDefault="00850168" w:rsidP="00850168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  <w:t>(наименование и реквизиты заказчика)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Гарантийное обязательство № ________(место нахождения) «___»___________ _____ г.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Принимая во внимание, что __________________________________,</w:t>
      </w:r>
    </w:p>
    <w:p w:rsidR="00850168" w:rsidRPr="000F4563" w:rsidRDefault="00850168" w:rsidP="00850168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  <w:t>(наименование поставщика)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«Поставщик», заключил договор о закупках №___от ______ г. (далее – Договор) на поставку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(выполнение, оказание) _______________и Вами было (описание товаров, работ или услуг)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предусмотрено в Договоре, что Поставщик внесет обеспечение возврата аванса (предоплаты)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в виде банковской гарантии на общую сумму ______ тенге, настоящим __________________</w:t>
      </w:r>
    </w:p>
    <w:p w:rsidR="00850168" w:rsidRPr="000F4563" w:rsidRDefault="00850168" w:rsidP="00850168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  <w:t xml:space="preserve">  (наименование банка)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подтверждаем, что являемся гарантом по вышеуказанному Договору и берем на себя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безотзывное обязательство выплатить Вам по Вашему требованию сумму, равную__________</w:t>
      </w:r>
    </w:p>
    <w:p w:rsidR="00850168" w:rsidRPr="000F4563" w:rsidRDefault="00850168" w:rsidP="00850168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i/>
          <w:sz w:val="24"/>
          <w:szCs w:val="24"/>
          <w:lang w:val="ru-RU"/>
        </w:rPr>
        <w:tab/>
        <w:t xml:space="preserve">   (сумма в цифрах и прописью)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по получении Вашего письменного требования на оплату, а также письменного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подтверждения того, что Поставщик не исполнил или исполнил ненадлежащим образом свои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обязательства по Договору.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Данное гарантийное обязательство вступает в силу с момента его подписания и действует до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>момента полного исполнения Поставщиком своих обязательств по Договору.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Все права и обязанности, возникающие в связи с настоящим гарантийным обязательством,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0F4563">
        <w:rPr>
          <w:rFonts w:ascii="Times New Roman" w:hAnsi="Times New Roman"/>
          <w:sz w:val="24"/>
          <w:szCs w:val="24"/>
          <w:lang w:val="ru-RU"/>
        </w:rPr>
        <w:t xml:space="preserve">регулируются законодательством Республики Казахстан. </w:t>
      </w:r>
    </w:p>
    <w:p w:rsidR="00850168" w:rsidRPr="000F4563" w:rsidRDefault="00850168" w:rsidP="0085016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850168" w:rsidRPr="000F4563" w:rsidRDefault="00850168" w:rsidP="00850168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850168" w:rsidRPr="0086166A" w:rsidRDefault="00850168" w:rsidP="00850168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0F4563">
        <w:rPr>
          <w:rFonts w:ascii="Times New Roman" w:hAnsi="Times New Roman"/>
          <w:b/>
          <w:sz w:val="24"/>
          <w:szCs w:val="24"/>
          <w:lang w:val="ru-RU"/>
        </w:rPr>
        <w:t xml:space="preserve">Подпись и печать гарантов </w:t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</w:r>
      <w:r w:rsidRPr="000F4563">
        <w:rPr>
          <w:rFonts w:ascii="Times New Roman" w:hAnsi="Times New Roman"/>
          <w:b/>
          <w:sz w:val="24"/>
          <w:szCs w:val="24"/>
          <w:lang w:val="ru-RU"/>
        </w:rPr>
        <w:tab/>
        <w:t>Дата и адрес</w:t>
      </w:r>
    </w:p>
    <w:p w:rsidR="00850168" w:rsidRPr="00D92168" w:rsidRDefault="00850168" w:rsidP="00850168">
      <w:pPr>
        <w:rPr>
          <w:rFonts w:ascii="Times New Roman" w:hAnsi="Times New Roman"/>
          <w:sz w:val="24"/>
          <w:szCs w:val="24"/>
          <w:lang w:val="ru-RU"/>
        </w:rPr>
      </w:pPr>
    </w:p>
    <w:p w:rsidR="00AD6561" w:rsidRDefault="00AD6561" w:rsidP="00850168">
      <w:pPr>
        <w:pStyle w:val="a5"/>
        <w:ind w:left="3600"/>
        <w:rPr>
          <w:rFonts w:ascii="Times New Roman" w:hAnsi="Times New Roman"/>
          <w:sz w:val="24"/>
          <w:szCs w:val="24"/>
          <w:lang w:val="ru-RU"/>
        </w:rPr>
      </w:pPr>
    </w:p>
    <w:sectPr w:rsidR="00AD65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EE" w:rsidRDefault="00B371EE" w:rsidP="007D4127">
      <w:pPr>
        <w:spacing w:after="0" w:line="240" w:lineRule="auto"/>
      </w:pPr>
      <w:r>
        <w:separator/>
      </w:r>
    </w:p>
  </w:endnote>
  <w:endnote w:type="continuationSeparator" w:id="0">
    <w:p w:rsidR="00B371EE" w:rsidRDefault="00B371EE" w:rsidP="007D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EE" w:rsidRDefault="00B371EE" w:rsidP="007D4127">
      <w:pPr>
        <w:spacing w:after="0" w:line="240" w:lineRule="auto"/>
      </w:pPr>
      <w:r>
        <w:separator/>
      </w:r>
    </w:p>
  </w:footnote>
  <w:footnote w:type="continuationSeparator" w:id="0">
    <w:p w:rsidR="00B371EE" w:rsidRDefault="00B371EE" w:rsidP="007D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1C5F8"/>
    <w:multiLevelType w:val="hybridMultilevel"/>
    <w:tmpl w:val="D042D8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FA2FDB"/>
    <w:multiLevelType w:val="hybridMultilevel"/>
    <w:tmpl w:val="B7A13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85BF51"/>
    <w:multiLevelType w:val="hybridMultilevel"/>
    <w:tmpl w:val="82482C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7A1F0"/>
    <w:multiLevelType w:val="hybridMultilevel"/>
    <w:tmpl w:val="D7C27E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46AAE9"/>
    <w:multiLevelType w:val="hybridMultilevel"/>
    <w:tmpl w:val="E7E159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498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29"/>
    <w:rsid w:val="0001037B"/>
    <w:rsid w:val="00024EE3"/>
    <w:rsid w:val="00035BE2"/>
    <w:rsid w:val="000637FC"/>
    <w:rsid w:val="00066FED"/>
    <w:rsid w:val="000672B7"/>
    <w:rsid w:val="000905A9"/>
    <w:rsid w:val="00090719"/>
    <w:rsid w:val="000D4FFD"/>
    <w:rsid w:val="000E5A49"/>
    <w:rsid w:val="000F4563"/>
    <w:rsid w:val="00105ED0"/>
    <w:rsid w:val="00125729"/>
    <w:rsid w:val="00136A39"/>
    <w:rsid w:val="00165871"/>
    <w:rsid w:val="00167479"/>
    <w:rsid w:val="00185B51"/>
    <w:rsid w:val="001A7D68"/>
    <w:rsid w:val="001B4D19"/>
    <w:rsid w:val="0021050D"/>
    <w:rsid w:val="00221109"/>
    <w:rsid w:val="002526F3"/>
    <w:rsid w:val="00286EB4"/>
    <w:rsid w:val="0030001E"/>
    <w:rsid w:val="00342BA8"/>
    <w:rsid w:val="003562AC"/>
    <w:rsid w:val="00356945"/>
    <w:rsid w:val="00365385"/>
    <w:rsid w:val="00383565"/>
    <w:rsid w:val="003C4A4A"/>
    <w:rsid w:val="003D12AB"/>
    <w:rsid w:val="003F1078"/>
    <w:rsid w:val="00416E52"/>
    <w:rsid w:val="004533FF"/>
    <w:rsid w:val="00492B7F"/>
    <w:rsid w:val="004A3DF0"/>
    <w:rsid w:val="004C7403"/>
    <w:rsid w:val="004E34C6"/>
    <w:rsid w:val="004E4AFE"/>
    <w:rsid w:val="004F0C57"/>
    <w:rsid w:val="005120B7"/>
    <w:rsid w:val="00526DDA"/>
    <w:rsid w:val="00542531"/>
    <w:rsid w:val="00555FD6"/>
    <w:rsid w:val="005732EB"/>
    <w:rsid w:val="005A10CA"/>
    <w:rsid w:val="005A6454"/>
    <w:rsid w:val="005B25DE"/>
    <w:rsid w:val="005B48E6"/>
    <w:rsid w:val="005B6334"/>
    <w:rsid w:val="005C4942"/>
    <w:rsid w:val="005D60B4"/>
    <w:rsid w:val="0060546D"/>
    <w:rsid w:val="00634B8C"/>
    <w:rsid w:val="00635852"/>
    <w:rsid w:val="006A0431"/>
    <w:rsid w:val="006C2AFF"/>
    <w:rsid w:val="006E10D9"/>
    <w:rsid w:val="006F31D8"/>
    <w:rsid w:val="006F4AB3"/>
    <w:rsid w:val="007247F0"/>
    <w:rsid w:val="007410BB"/>
    <w:rsid w:val="007530F5"/>
    <w:rsid w:val="00757F04"/>
    <w:rsid w:val="00777089"/>
    <w:rsid w:val="00780D16"/>
    <w:rsid w:val="00785139"/>
    <w:rsid w:val="007B2B7F"/>
    <w:rsid w:val="007C1C14"/>
    <w:rsid w:val="007D4127"/>
    <w:rsid w:val="007E0579"/>
    <w:rsid w:val="007E783A"/>
    <w:rsid w:val="00833B9E"/>
    <w:rsid w:val="00844976"/>
    <w:rsid w:val="00850168"/>
    <w:rsid w:val="008558D8"/>
    <w:rsid w:val="00894CEB"/>
    <w:rsid w:val="008B1939"/>
    <w:rsid w:val="008B21CB"/>
    <w:rsid w:val="008C5616"/>
    <w:rsid w:val="008E61F0"/>
    <w:rsid w:val="009043B1"/>
    <w:rsid w:val="009170F2"/>
    <w:rsid w:val="009307DA"/>
    <w:rsid w:val="00956F22"/>
    <w:rsid w:val="00971C20"/>
    <w:rsid w:val="00991948"/>
    <w:rsid w:val="00997D6D"/>
    <w:rsid w:val="009B0024"/>
    <w:rsid w:val="009C184E"/>
    <w:rsid w:val="009C1F2C"/>
    <w:rsid w:val="00A019E3"/>
    <w:rsid w:val="00A228D9"/>
    <w:rsid w:val="00A51259"/>
    <w:rsid w:val="00A97E42"/>
    <w:rsid w:val="00AA0D2B"/>
    <w:rsid w:val="00AD2938"/>
    <w:rsid w:val="00AD6561"/>
    <w:rsid w:val="00AD6B01"/>
    <w:rsid w:val="00AF36B8"/>
    <w:rsid w:val="00B02D52"/>
    <w:rsid w:val="00B23475"/>
    <w:rsid w:val="00B371EE"/>
    <w:rsid w:val="00B428B8"/>
    <w:rsid w:val="00B45E3D"/>
    <w:rsid w:val="00B610AE"/>
    <w:rsid w:val="00B8174A"/>
    <w:rsid w:val="00B979C2"/>
    <w:rsid w:val="00BA7F9F"/>
    <w:rsid w:val="00BD7A55"/>
    <w:rsid w:val="00BE488F"/>
    <w:rsid w:val="00BF22CD"/>
    <w:rsid w:val="00C00DE6"/>
    <w:rsid w:val="00C11E64"/>
    <w:rsid w:val="00C25D47"/>
    <w:rsid w:val="00C54811"/>
    <w:rsid w:val="00C56625"/>
    <w:rsid w:val="00CA0930"/>
    <w:rsid w:val="00CA14E5"/>
    <w:rsid w:val="00CC5A82"/>
    <w:rsid w:val="00CE76F0"/>
    <w:rsid w:val="00D2535D"/>
    <w:rsid w:val="00D25B1A"/>
    <w:rsid w:val="00D45164"/>
    <w:rsid w:val="00D6595D"/>
    <w:rsid w:val="00D676B7"/>
    <w:rsid w:val="00D74B36"/>
    <w:rsid w:val="00D928B3"/>
    <w:rsid w:val="00DB5589"/>
    <w:rsid w:val="00DC1005"/>
    <w:rsid w:val="00DC3200"/>
    <w:rsid w:val="00DC4318"/>
    <w:rsid w:val="00DF72E7"/>
    <w:rsid w:val="00E043AE"/>
    <w:rsid w:val="00E256AA"/>
    <w:rsid w:val="00E52E9E"/>
    <w:rsid w:val="00E53364"/>
    <w:rsid w:val="00E85B1C"/>
    <w:rsid w:val="00E94AB2"/>
    <w:rsid w:val="00EC024F"/>
    <w:rsid w:val="00EC2843"/>
    <w:rsid w:val="00ED0024"/>
    <w:rsid w:val="00EE407F"/>
    <w:rsid w:val="00EF478D"/>
    <w:rsid w:val="00F108D8"/>
    <w:rsid w:val="00F15784"/>
    <w:rsid w:val="00F56F4A"/>
    <w:rsid w:val="00F61589"/>
    <w:rsid w:val="00F92755"/>
    <w:rsid w:val="00F92C84"/>
    <w:rsid w:val="00FA4100"/>
    <w:rsid w:val="00FB1914"/>
    <w:rsid w:val="00FB51E0"/>
    <w:rsid w:val="00FE560F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25729"/>
    <w:rPr>
      <w:color w:val="0000FF"/>
      <w:u w:val="single"/>
    </w:rPr>
  </w:style>
  <w:style w:type="character" w:customStyle="1" w:styleId="s0">
    <w:name w:val="s0"/>
    <w:rsid w:val="00AD6B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AD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B45E3D"/>
    <w:rPr>
      <w:sz w:val="22"/>
      <w:szCs w:val="22"/>
      <w:lang w:eastAsia="zh-CN"/>
    </w:rPr>
  </w:style>
  <w:style w:type="paragraph" w:styleId="a6">
    <w:name w:val="header"/>
    <w:basedOn w:val="a0"/>
    <w:link w:val="a7"/>
    <w:uiPriority w:val="99"/>
    <w:unhideWhenUsed/>
    <w:rsid w:val="007D4127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rsid w:val="007D4127"/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7D4127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7D4127"/>
    <w:rPr>
      <w:sz w:val="22"/>
      <w:szCs w:val="22"/>
    </w:rPr>
  </w:style>
  <w:style w:type="character" w:styleId="aa">
    <w:name w:val="annotation reference"/>
    <w:uiPriority w:val="99"/>
    <w:semiHidden/>
    <w:unhideWhenUsed/>
    <w:rsid w:val="007530F5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7530F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530F5"/>
    <w:rPr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30F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530F5"/>
    <w:rPr>
      <w:b/>
      <w:bCs/>
      <w:lang w:eastAsia="zh-CN"/>
    </w:rPr>
  </w:style>
  <w:style w:type="paragraph" w:styleId="af">
    <w:name w:val="Balloon Text"/>
    <w:basedOn w:val="a0"/>
    <w:link w:val="af0"/>
    <w:uiPriority w:val="99"/>
    <w:semiHidden/>
    <w:unhideWhenUsed/>
    <w:rsid w:val="0075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530F5"/>
    <w:rPr>
      <w:rFonts w:ascii="Tahoma" w:hAnsi="Tahoma" w:cs="Tahoma"/>
      <w:sz w:val="16"/>
      <w:szCs w:val="16"/>
      <w:lang w:eastAsia="zh-CN"/>
    </w:rPr>
  </w:style>
  <w:style w:type="paragraph" w:customStyle="1" w:styleId="a">
    <w:name w:val="Статья"/>
    <w:basedOn w:val="a0"/>
    <w:link w:val="af1"/>
    <w:rsid w:val="00DC1005"/>
    <w:pPr>
      <w:widowControl w:val="0"/>
      <w:numPr>
        <w:numId w:val="6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1">
    <w:name w:val="Статья Знак"/>
    <w:link w:val="a"/>
    <w:rsid w:val="00DC1005"/>
    <w:rPr>
      <w:rFonts w:ascii="Arial" w:eastAsia="Times New Roman" w:hAnsi="Arial" w:cs="Arial"/>
      <w:sz w:val="24"/>
      <w:szCs w:val="24"/>
      <w:lang w:val="ru-RU" w:eastAsia="ru-RU"/>
    </w:rPr>
  </w:style>
  <w:style w:type="table" w:styleId="af2">
    <w:name w:val="Table Grid"/>
    <w:basedOn w:val="a2"/>
    <w:uiPriority w:val="59"/>
    <w:rsid w:val="0075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25729"/>
    <w:rPr>
      <w:color w:val="0000FF"/>
      <w:u w:val="single"/>
    </w:rPr>
  </w:style>
  <w:style w:type="character" w:customStyle="1" w:styleId="s0">
    <w:name w:val="s0"/>
    <w:rsid w:val="00AD6B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AD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B45E3D"/>
    <w:rPr>
      <w:sz w:val="22"/>
      <w:szCs w:val="22"/>
      <w:lang w:eastAsia="zh-CN"/>
    </w:rPr>
  </w:style>
  <w:style w:type="paragraph" w:styleId="a6">
    <w:name w:val="header"/>
    <w:basedOn w:val="a0"/>
    <w:link w:val="a7"/>
    <w:uiPriority w:val="99"/>
    <w:unhideWhenUsed/>
    <w:rsid w:val="007D4127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rsid w:val="007D4127"/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7D4127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7D4127"/>
    <w:rPr>
      <w:sz w:val="22"/>
      <w:szCs w:val="22"/>
    </w:rPr>
  </w:style>
  <w:style w:type="character" w:styleId="aa">
    <w:name w:val="annotation reference"/>
    <w:uiPriority w:val="99"/>
    <w:semiHidden/>
    <w:unhideWhenUsed/>
    <w:rsid w:val="007530F5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7530F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530F5"/>
    <w:rPr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30F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530F5"/>
    <w:rPr>
      <w:b/>
      <w:bCs/>
      <w:lang w:eastAsia="zh-CN"/>
    </w:rPr>
  </w:style>
  <w:style w:type="paragraph" w:styleId="af">
    <w:name w:val="Balloon Text"/>
    <w:basedOn w:val="a0"/>
    <w:link w:val="af0"/>
    <w:uiPriority w:val="99"/>
    <w:semiHidden/>
    <w:unhideWhenUsed/>
    <w:rsid w:val="0075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530F5"/>
    <w:rPr>
      <w:rFonts w:ascii="Tahoma" w:hAnsi="Tahoma" w:cs="Tahoma"/>
      <w:sz w:val="16"/>
      <w:szCs w:val="16"/>
      <w:lang w:eastAsia="zh-CN"/>
    </w:rPr>
  </w:style>
  <w:style w:type="paragraph" w:customStyle="1" w:styleId="a">
    <w:name w:val="Статья"/>
    <w:basedOn w:val="a0"/>
    <w:link w:val="af1"/>
    <w:rsid w:val="00DC1005"/>
    <w:pPr>
      <w:widowControl w:val="0"/>
      <w:numPr>
        <w:numId w:val="6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1">
    <w:name w:val="Статья Знак"/>
    <w:link w:val="a"/>
    <w:rsid w:val="00DC1005"/>
    <w:rPr>
      <w:rFonts w:ascii="Arial" w:eastAsia="Times New Roman" w:hAnsi="Arial" w:cs="Arial"/>
      <w:sz w:val="24"/>
      <w:szCs w:val="24"/>
      <w:lang w:val="ru-RU" w:eastAsia="ru-RU"/>
    </w:rPr>
  </w:style>
  <w:style w:type="table" w:styleId="af2">
    <w:name w:val="Table Grid"/>
    <w:basedOn w:val="a2"/>
    <w:uiPriority w:val="59"/>
    <w:rsid w:val="0075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gm@kgm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Mamayev@kgm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nder.s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40E3-39D5-4C24-8AAB-70641F6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7750</Words>
  <Characters>44177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JV Kazgermunai</Company>
  <LinksUpToDate>false</LinksUpToDate>
  <CharactersWithSpaces>51824</CharactersWithSpaces>
  <SharedDoc>false</SharedDoc>
  <HLinks>
    <vt:vector size="24" baseType="variant"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sub4900</vt:lpwstr>
      </vt:variant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mailto:kgm@kgm.kz</vt:lpwstr>
      </vt:variant>
      <vt:variant>
        <vt:lpwstr/>
      </vt:variant>
      <vt:variant>
        <vt:i4>1376296</vt:i4>
      </vt:variant>
      <vt:variant>
        <vt:i4>3</vt:i4>
      </vt:variant>
      <vt:variant>
        <vt:i4>0</vt:i4>
      </vt:variant>
      <vt:variant>
        <vt:i4>5</vt:i4>
      </vt:variant>
      <vt:variant>
        <vt:lpwstr>mailto:AMamayev@kgm.kz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http://tender.sk.kz/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 Aimenova</dc:creator>
  <cp:lastModifiedBy>Arman Mamayev</cp:lastModifiedBy>
  <cp:revision>2</cp:revision>
  <dcterms:created xsi:type="dcterms:W3CDTF">2016-12-30T09:55:00Z</dcterms:created>
  <dcterms:modified xsi:type="dcterms:W3CDTF">2016-12-30T09:55:00Z</dcterms:modified>
</cp:coreProperties>
</file>